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B5" w:rsidRPr="008D4871" w:rsidRDefault="007A69B5" w:rsidP="007A69B5">
      <w:pPr>
        <w:snapToGrid w:val="0"/>
        <w:jc w:val="center"/>
        <w:rPr>
          <w:rFonts w:ascii="標楷體" w:eastAsia="標楷體" w:hAnsi="標楷體"/>
          <w:b/>
          <w:bCs/>
          <w:sz w:val="28"/>
          <w:szCs w:val="28"/>
        </w:rPr>
      </w:pPr>
      <w:r w:rsidRPr="008D4871">
        <w:rPr>
          <w:rFonts w:ascii="標楷體" w:eastAsia="標楷體" w:hAnsi="標楷體" w:hint="eastAsia"/>
          <w:b/>
          <w:bCs/>
          <w:sz w:val="28"/>
          <w:szCs w:val="28"/>
        </w:rPr>
        <w:t xml:space="preserve">國立臺東大學　</w:t>
      </w:r>
      <w:r w:rsidRPr="008D4871">
        <w:rPr>
          <w:rFonts w:ascii="標楷體" w:eastAsia="標楷體" w:hAnsi="標楷體"/>
          <w:b/>
          <w:bCs/>
          <w:sz w:val="28"/>
          <w:szCs w:val="28"/>
        </w:rPr>
        <w:t>10</w:t>
      </w:r>
      <w:r w:rsidR="005736B7">
        <w:rPr>
          <w:rFonts w:ascii="標楷體" w:eastAsia="標楷體" w:hAnsi="標楷體" w:hint="eastAsia"/>
          <w:b/>
          <w:bCs/>
          <w:sz w:val="28"/>
          <w:szCs w:val="28"/>
        </w:rPr>
        <w:t>8</w:t>
      </w:r>
      <w:r w:rsidRPr="008D4871">
        <w:rPr>
          <w:rFonts w:ascii="標楷體" w:eastAsia="標楷體" w:hAnsi="標楷體" w:hint="eastAsia"/>
          <w:b/>
          <w:bCs/>
          <w:sz w:val="28"/>
          <w:szCs w:val="28"/>
        </w:rPr>
        <w:t>學年度　課程綱要</w:t>
      </w:r>
    </w:p>
    <w:p w:rsidR="007A69B5" w:rsidRPr="008D4871" w:rsidRDefault="007A69B5" w:rsidP="007A69B5">
      <w:pPr>
        <w:snapToGrid w:val="0"/>
        <w:jc w:val="center"/>
        <w:rPr>
          <w:rFonts w:ascii="標楷體" w:eastAsia="標楷體" w:hAnsi="標楷體"/>
          <w:b/>
          <w:bCs/>
          <w:sz w:val="28"/>
          <w:szCs w:val="28"/>
        </w:rPr>
      </w:pPr>
      <w:r w:rsidRPr="008D4871">
        <w:rPr>
          <w:rFonts w:ascii="標楷體" w:eastAsia="標楷體" w:hAnsi="標楷體" w:hint="eastAsia"/>
          <w:b/>
          <w:bCs/>
          <w:sz w:val="28"/>
          <w:szCs w:val="28"/>
        </w:rPr>
        <w:t xml:space="preserve">師範學院　教育學系　</w:t>
      </w:r>
      <w:bookmarkStart w:id="0" w:name="_Toc234663943"/>
      <w:r w:rsidRPr="008D4871">
        <w:rPr>
          <w:rFonts w:ascii="標楷體" w:eastAsia="標楷體" w:hAnsi="標楷體" w:hint="eastAsia"/>
          <w:b/>
          <w:bCs/>
          <w:sz w:val="28"/>
          <w:szCs w:val="28"/>
        </w:rPr>
        <w:t>教育行政碩士在職專班（夜間班）</w:t>
      </w:r>
      <w:bookmarkEnd w:id="0"/>
    </w:p>
    <w:p w:rsidR="005736B7" w:rsidRDefault="005736B7" w:rsidP="005736B7">
      <w:pPr>
        <w:adjustRightInd w:val="0"/>
        <w:snapToGrid w:val="0"/>
        <w:jc w:val="right"/>
        <w:textAlignment w:val="baseline"/>
        <w:rPr>
          <w:rFonts w:ascii="標楷體" w:eastAsia="標楷體" w:hAnsi="標楷體"/>
          <w:sz w:val="18"/>
          <w:szCs w:val="20"/>
        </w:rPr>
      </w:pPr>
      <w:r>
        <w:rPr>
          <w:rFonts w:ascii="標楷體" w:eastAsia="標楷體" w:hAnsi="標楷體" w:hint="eastAsia"/>
          <w:sz w:val="18"/>
          <w:szCs w:val="20"/>
        </w:rPr>
        <w:t>107</w:t>
      </w:r>
      <w:r w:rsidRPr="004A2005">
        <w:rPr>
          <w:rFonts w:ascii="標楷體" w:eastAsia="標楷體" w:hAnsi="標楷體" w:hint="eastAsia"/>
          <w:sz w:val="18"/>
          <w:szCs w:val="20"/>
        </w:rPr>
        <w:t>學年度第</w:t>
      </w:r>
      <w:r>
        <w:rPr>
          <w:rFonts w:ascii="標楷體" w:eastAsia="標楷體" w:hAnsi="標楷體" w:hint="eastAsia"/>
          <w:sz w:val="18"/>
          <w:szCs w:val="20"/>
        </w:rPr>
        <w:t>2</w:t>
      </w:r>
      <w:r w:rsidRPr="004A2005">
        <w:rPr>
          <w:rFonts w:ascii="標楷體" w:eastAsia="標楷體" w:hAnsi="標楷體" w:hint="eastAsia"/>
          <w:sz w:val="18"/>
          <w:szCs w:val="20"/>
        </w:rPr>
        <w:t>學期第</w:t>
      </w:r>
      <w:r>
        <w:rPr>
          <w:rFonts w:ascii="標楷體" w:eastAsia="標楷體" w:hAnsi="標楷體" w:hint="eastAsia"/>
          <w:sz w:val="18"/>
          <w:szCs w:val="20"/>
        </w:rPr>
        <w:t>2</w:t>
      </w:r>
      <w:r w:rsidRPr="004A2005">
        <w:rPr>
          <w:rFonts w:ascii="標楷體" w:eastAsia="標楷體" w:hAnsi="標楷體" w:hint="eastAsia"/>
          <w:sz w:val="18"/>
          <w:szCs w:val="20"/>
        </w:rPr>
        <w:t>次系課程會議</w:t>
      </w:r>
      <w:r>
        <w:rPr>
          <w:rFonts w:ascii="標楷體" w:eastAsia="標楷體" w:hAnsi="標楷體" w:hint="eastAsia"/>
          <w:sz w:val="18"/>
          <w:szCs w:val="20"/>
        </w:rPr>
        <w:t>(1080501</w:t>
      </w:r>
      <w:r w:rsidRPr="004A2005">
        <w:rPr>
          <w:rFonts w:ascii="標楷體" w:eastAsia="標楷體" w:hAnsi="標楷體" w:hint="eastAsia"/>
          <w:sz w:val="18"/>
          <w:szCs w:val="20"/>
        </w:rPr>
        <w:t>)</w:t>
      </w:r>
    </w:p>
    <w:p w:rsidR="001E24B0" w:rsidRDefault="001E24B0" w:rsidP="001E24B0">
      <w:pPr>
        <w:adjustRightInd w:val="0"/>
        <w:snapToGrid w:val="0"/>
        <w:jc w:val="right"/>
        <w:textAlignment w:val="baseline"/>
        <w:rPr>
          <w:rFonts w:ascii="標楷體" w:eastAsia="標楷體" w:hAnsi="標楷體"/>
          <w:sz w:val="18"/>
          <w:szCs w:val="20"/>
        </w:rPr>
      </w:pPr>
      <w:r>
        <w:rPr>
          <w:rFonts w:ascii="標楷體" w:eastAsia="標楷體" w:hAnsi="標楷體" w:hint="eastAsia"/>
          <w:sz w:val="18"/>
          <w:szCs w:val="20"/>
        </w:rPr>
        <w:t>107學年度第2學期第2次院課程會議通過(1050523)</w:t>
      </w:r>
    </w:p>
    <w:p w:rsidR="001E24B0" w:rsidRPr="00A3077D" w:rsidRDefault="001E24B0" w:rsidP="001E24B0">
      <w:pPr>
        <w:snapToGrid w:val="0"/>
        <w:spacing w:line="240" w:lineRule="exact"/>
        <w:ind w:rightChars="-10" w:right="-24"/>
        <w:jc w:val="right"/>
        <w:rPr>
          <w:rFonts w:ascii="標楷體" w:eastAsia="標楷體" w:hAnsi="標楷體"/>
          <w:bCs/>
          <w:sz w:val="20"/>
          <w:szCs w:val="20"/>
        </w:rPr>
      </w:pPr>
      <w:r w:rsidRPr="006C06C8">
        <w:rPr>
          <w:rFonts w:ascii="標楷體" w:eastAsia="標楷體" w:hAnsi="標楷體" w:hint="eastAsia"/>
          <w:color w:val="FF0000"/>
          <w:sz w:val="18"/>
          <w:szCs w:val="20"/>
        </w:rPr>
        <w:t>107學年度第2學期第</w:t>
      </w:r>
      <w:r w:rsidRPr="006C06C8">
        <w:rPr>
          <w:rFonts w:ascii="標楷體" w:eastAsia="標楷體" w:hAnsi="標楷體"/>
          <w:color w:val="FF0000"/>
          <w:sz w:val="18"/>
          <w:szCs w:val="20"/>
        </w:rPr>
        <w:t>2</w:t>
      </w:r>
      <w:r w:rsidRPr="006C06C8">
        <w:rPr>
          <w:rFonts w:ascii="標楷體" w:eastAsia="標楷體" w:hAnsi="標楷體" w:hint="eastAsia"/>
          <w:color w:val="FF0000"/>
          <w:sz w:val="18"/>
          <w:szCs w:val="20"/>
        </w:rPr>
        <w:t>次校課程會議</w:t>
      </w:r>
      <w:r>
        <w:rPr>
          <w:rFonts w:ascii="標楷體" w:eastAsia="標楷體" w:hAnsi="標楷體" w:hint="eastAsia"/>
          <w:color w:val="FF0000"/>
          <w:sz w:val="18"/>
          <w:szCs w:val="20"/>
        </w:rPr>
        <w:t>通過</w:t>
      </w:r>
      <w:r w:rsidRPr="006C06C8">
        <w:rPr>
          <w:rFonts w:ascii="標楷體" w:eastAsia="標楷體" w:hAnsi="標楷體" w:hint="eastAsia"/>
          <w:color w:val="FF0000"/>
          <w:sz w:val="18"/>
          <w:szCs w:val="20"/>
        </w:rPr>
        <w:t>(1080530)</w:t>
      </w:r>
    </w:p>
    <w:p w:rsidR="007A69B5" w:rsidRPr="00A75E9A" w:rsidRDefault="007A69B5" w:rsidP="007A69B5">
      <w:pPr>
        <w:spacing w:beforeLines="50" w:before="180" w:afterLines="50" w:after="180"/>
        <w:rPr>
          <w:rFonts w:ascii="標楷體" w:eastAsia="標楷體" w:hAnsi="標楷體"/>
          <w:b/>
          <w:szCs w:val="28"/>
        </w:rPr>
      </w:pPr>
      <w:r w:rsidRPr="00A75E9A">
        <w:rPr>
          <w:rFonts w:ascii="標楷體" w:eastAsia="標楷體" w:hAnsi="標楷體" w:hint="eastAsia"/>
          <w:b/>
          <w:szCs w:val="28"/>
        </w:rPr>
        <w:t>一</w:t>
      </w:r>
      <w:r w:rsidR="0059763F" w:rsidRPr="00A75E9A">
        <w:rPr>
          <w:rFonts w:ascii="標楷體" w:eastAsia="標楷體" w:hAnsi="標楷體" w:hint="eastAsia"/>
          <w:b/>
          <w:szCs w:val="28"/>
        </w:rPr>
        <w:t>、</w:t>
      </w:r>
      <w:r w:rsidRPr="00A75E9A">
        <w:rPr>
          <w:rFonts w:ascii="標楷體" w:eastAsia="標楷體" w:hAnsi="標楷體" w:hint="eastAsia"/>
          <w:b/>
          <w:szCs w:val="28"/>
        </w:rPr>
        <w:t>目標</w:t>
      </w:r>
    </w:p>
    <w:p w:rsidR="007A69B5" w:rsidRPr="008D4871" w:rsidRDefault="007A69B5" w:rsidP="007A69B5">
      <w:pPr>
        <w:spacing w:line="400" w:lineRule="exact"/>
        <w:rPr>
          <w:rFonts w:ascii="標楷體" w:eastAsia="標楷體" w:hAnsi="標楷體"/>
          <w:szCs w:val="28"/>
        </w:rPr>
      </w:pPr>
      <w:r w:rsidRPr="008D4871">
        <w:rPr>
          <w:rFonts w:ascii="標楷體" w:eastAsia="標楷體" w:hAnsi="標楷體" w:hint="eastAsia"/>
          <w:szCs w:val="28"/>
        </w:rPr>
        <w:t xml:space="preserve">    本所理論與實務並重，兼顧教育行政及政策專業知識、技能、與態度之養成，以期提昇相關人員素質及服務品質，進而改善國內教育行政機關和各級學校之組織效能。教育目標在於培養教育行政及政策學術研究人才；培育各級各類教育行政及學校行政領導人才；提供國內各級各類教育行政及學校行政人員進修之機會。</w:t>
      </w:r>
    </w:p>
    <w:p w:rsidR="007A69B5" w:rsidRDefault="0059763F" w:rsidP="007A69B5">
      <w:pPr>
        <w:spacing w:beforeLines="50" w:before="180" w:afterLines="50" w:after="180"/>
        <w:rPr>
          <w:rFonts w:ascii="標楷體" w:eastAsia="標楷體" w:hAnsi="標楷體"/>
          <w:szCs w:val="28"/>
        </w:rPr>
      </w:pPr>
      <w:r>
        <w:rPr>
          <w:rFonts w:ascii="標楷體" w:eastAsia="標楷體" w:hAnsi="標楷體" w:hint="eastAsia"/>
          <w:szCs w:val="28"/>
        </w:rPr>
        <w:t xml:space="preserve"> </w:t>
      </w:r>
      <w:r w:rsidR="007A69B5" w:rsidRPr="00A75E9A">
        <w:rPr>
          <w:rFonts w:ascii="標楷體" w:eastAsia="標楷體" w:hAnsi="標楷體" w:hint="eastAsia"/>
          <w:b/>
          <w:szCs w:val="28"/>
        </w:rPr>
        <w:t>二</w:t>
      </w:r>
      <w:r w:rsidRPr="00A75E9A">
        <w:rPr>
          <w:rFonts w:ascii="標楷體" w:eastAsia="標楷體" w:hAnsi="標楷體" w:hint="eastAsia"/>
          <w:b/>
          <w:szCs w:val="28"/>
        </w:rPr>
        <w:t>、</w:t>
      </w:r>
      <w:r w:rsidR="007A69B5" w:rsidRPr="00A75E9A">
        <w:rPr>
          <w:rFonts w:ascii="標楷體" w:eastAsia="標楷體" w:hAnsi="標楷體" w:hint="eastAsia"/>
          <w:b/>
          <w:szCs w:val="28"/>
        </w:rPr>
        <w:t>課程結構</w:t>
      </w:r>
    </w:p>
    <w:tbl>
      <w:tblPr>
        <w:tblStyle w:val="a3"/>
        <w:tblW w:w="5000" w:type="pct"/>
        <w:tblLook w:val="04A0" w:firstRow="1" w:lastRow="0" w:firstColumn="1" w:lastColumn="0" w:noHBand="0" w:noVBand="1"/>
      </w:tblPr>
      <w:tblGrid>
        <w:gridCol w:w="3788"/>
        <w:gridCol w:w="1617"/>
        <w:gridCol w:w="2025"/>
        <w:gridCol w:w="3252"/>
      </w:tblGrid>
      <w:tr w:rsidR="0059763F" w:rsidRPr="00285BB1" w:rsidTr="00D24B17">
        <w:trPr>
          <w:trHeight w:val="524"/>
        </w:trPr>
        <w:tc>
          <w:tcPr>
            <w:tcW w:w="3478" w:type="pct"/>
            <w:gridSpan w:val="3"/>
            <w:vAlign w:val="center"/>
          </w:tcPr>
          <w:p w:rsidR="0059763F" w:rsidRPr="00285BB1" w:rsidRDefault="0059763F" w:rsidP="00D24B17">
            <w:pPr>
              <w:spacing w:afterLines="20" w:after="72" w:line="240" w:lineRule="exact"/>
              <w:jc w:val="center"/>
              <w:rPr>
                <w:rFonts w:ascii="標楷體" w:eastAsia="標楷體" w:hAnsi="標楷體"/>
                <w:b/>
                <w:bCs/>
                <w:sz w:val="22"/>
              </w:rPr>
            </w:pPr>
            <w:r w:rsidRPr="00285BB1">
              <w:rPr>
                <w:rFonts w:ascii="標楷體" w:eastAsia="標楷體" w:hAnsi="標楷體" w:hint="eastAsia"/>
                <w:b/>
                <w:bCs/>
                <w:sz w:val="22"/>
              </w:rPr>
              <w:t>課</w:t>
            </w:r>
            <w:r w:rsidRPr="00285BB1">
              <w:rPr>
                <w:rFonts w:ascii="標楷體" w:eastAsia="標楷體" w:hAnsi="標楷體"/>
                <w:b/>
                <w:bCs/>
                <w:sz w:val="22"/>
              </w:rPr>
              <w:t xml:space="preserve">  </w:t>
            </w:r>
            <w:r w:rsidRPr="00285BB1">
              <w:rPr>
                <w:rFonts w:ascii="標楷體" w:eastAsia="標楷體" w:hAnsi="標楷體" w:hint="eastAsia"/>
                <w:b/>
                <w:bCs/>
                <w:sz w:val="22"/>
              </w:rPr>
              <w:t>程</w:t>
            </w:r>
            <w:r w:rsidRPr="00285BB1">
              <w:rPr>
                <w:rFonts w:ascii="標楷體" w:eastAsia="標楷體" w:hAnsi="標楷體"/>
                <w:b/>
                <w:bCs/>
                <w:sz w:val="22"/>
              </w:rPr>
              <w:t xml:space="preserve">  </w:t>
            </w:r>
            <w:r w:rsidRPr="00285BB1">
              <w:rPr>
                <w:rFonts w:ascii="標楷體" w:eastAsia="標楷體" w:hAnsi="標楷體" w:hint="eastAsia"/>
                <w:b/>
                <w:bCs/>
                <w:sz w:val="22"/>
              </w:rPr>
              <w:t>類</w:t>
            </w:r>
            <w:r w:rsidRPr="00285BB1">
              <w:rPr>
                <w:rFonts w:ascii="標楷體" w:eastAsia="標楷體" w:hAnsi="標楷體"/>
                <w:b/>
                <w:bCs/>
                <w:sz w:val="22"/>
              </w:rPr>
              <w:t xml:space="preserve">  </w:t>
            </w:r>
            <w:r w:rsidRPr="00285BB1">
              <w:rPr>
                <w:rFonts w:ascii="標楷體" w:eastAsia="標楷體" w:hAnsi="標楷體" w:hint="eastAsia"/>
                <w:b/>
                <w:bCs/>
                <w:sz w:val="22"/>
              </w:rPr>
              <w:t>別</w:t>
            </w:r>
          </w:p>
        </w:tc>
        <w:tc>
          <w:tcPr>
            <w:tcW w:w="1522" w:type="pct"/>
            <w:vAlign w:val="center"/>
          </w:tcPr>
          <w:p w:rsidR="0059763F" w:rsidRPr="00285BB1" w:rsidRDefault="0059763F" w:rsidP="00D24B17">
            <w:pPr>
              <w:spacing w:afterLines="20" w:after="72" w:line="240" w:lineRule="exact"/>
              <w:jc w:val="center"/>
              <w:rPr>
                <w:rFonts w:ascii="標楷體" w:eastAsia="標楷體" w:hAnsi="標楷體"/>
                <w:b/>
                <w:bCs/>
                <w:sz w:val="22"/>
              </w:rPr>
            </w:pPr>
            <w:r>
              <w:rPr>
                <w:rFonts w:ascii="標楷體" w:eastAsia="標楷體" w:hAnsi="標楷體" w:hint="eastAsia"/>
                <w:b/>
                <w:bCs/>
                <w:sz w:val="22"/>
              </w:rPr>
              <w:t>學分數合計</w:t>
            </w:r>
          </w:p>
        </w:tc>
      </w:tr>
      <w:tr w:rsidR="00D24B17" w:rsidRPr="00285BB1" w:rsidTr="00D24B17">
        <w:trPr>
          <w:trHeight w:val="524"/>
        </w:trPr>
        <w:tc>
          <w:tcPr>
            <w:tcW w:w="1773" w:type="pct"/>
            <w:vMerge w:val="restar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共同必修</w:t>
            </w:r>
          </w:p>
        </w:tc>
        <w:tc>
          <w:tcPr>
            <w:tcW w:w="757"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必修</w:t>
            </w:r>
          </w:p>
        </w:tc>
        <w:tc>
          <w:tcPr>
            <w:tcW w:w="948"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8學分</w:t>
            </w:r>
          </w:p>
        </w:tc>
        <w:tc>
          <w:tcPr>
            <w:tcW w:w="1522" w:type="pct"/>
            <w:vMerge w:val="restar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10學分</w:t>
            </w:r>
          </w:p>
        </w:tc>
      </w:tr>
      <w:tr w:rsidR="00D24B17" w:rsidRPr="00285BB1" w:rsidTr="00D24B17">
        <w:trPr>
          <w:trHeight w:val="524"/>
        </w:trPr>
        <w:tc>
          <w:tcPr>
            <w:tcW w:w="1773" w:type="pct"/>
            <w:vMerge/>
            <w:vAlign w:val="center"/>
          </w:tcPr>
          <w:p w:rsidR="00D24B17" w:rsidRPr="00285BB1" w:rsidRDefault="00D24B17" w:rsidP="00D24B17">
            <w:pPr>
              <w:spacing w:afterLines="20" w:after="72" w:line="240" w:lineRule="exact"/>
              <w:jc w:val="center"/>
              <w:rPr>
                <w:rFonts w:ascii="標楷體" w:eastAsia="標楷體" w:hAnsi="標楷體"/>
                <w:bCs/>
                <w:sz w:val="22"/>
              </w:rPr>
            </w:pPr>
          </w:p>
        </w:tc>
        <w:tc>
          <w:tcPr>
            <w:tcW w:w="757"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選修</w:t>
            </w:r>
          </w:p>
        </w:tc>
        <w:tc>
          <w:tcPr>
            <w:tcW w:w="948"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2學分</w:t>
            </w:r>
          </w:p>
        </w:tc>
        <w:tc>
          <w:tcPr>
            <w:tcW w:w="1522" w:type="pct"/>
            <w:vMerge/>
            <w:vAlign w:val="center"/>
          </w:tcPr>
          <w:p w:rsidR="00D24B17" w:rsidRPr="00285BB1" w:rsidRDefault="00D24B17" w:rsidP="00D24B17">
            <w:pPr>
              <w:spacing w:afterLines="20" w:after="72" w:line="240" w:lineRule="exact"/>
              <w:jc w:val="center"/>
              <w:rPr>
                <w:rFonts w:ascii="標楷體" w:eastAsia="標楷體" w:hAnsi="標楷體"/>
                <w:bCs/>
                <w:sz w:val="22"/>
              </w:rPr>
            </w:pPr>
          </w:p>
        </w:tc>
      </w:tr>
      <w:tr w:rsidR="00D24B17" w:rsidRPr="00285BB1" w:rsidTr="00D24B17">
        <w:trPr>
          <w:trHeight w:val="524"/>
        </w:trPr>
        <w:tc>
          <w:tcPr>
            <w:tcW w:w="1773"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一般必修</w:t>
            </w:r>
          </w:p>
        </w:tc>
        <w:tc>
          <w:tcPr>
            <w:tcW w:w="757"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必修</w:t>
            </w:r>
          </w:p>
        </w:tc>
        <w:tc>
          <w:tcPr>
            <w:tcW w:w="948"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4學分</w:t>
            </w:r>
          </w:p>
        </w:tc>
        <w:tc>
          <w:tcPr>
            <w:tcW w:w="1522"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4學分</w:t>
            </w:r>
          </w:p>
        </w:tc>
      </w:tr>
      <w:tr w:rsidR="00D24B17" w:rsidRPr="00285BB1" w:rsidTr="00D24B17">
        <w:trPr>
          <w:trHeight w:val="524"/>
        </w:trPr>
        <w:tc>
          <w:tcPr>
            <w:tcW w:w="1773"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選修</w:t>
            </w:r>
          </w:p>
        </w:tc>
        <w:tc>
          <w:tcPr>
            <w:tcW w:w="757"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選修</w:t>
            </w:r>
          </w:p>
        </w:tc>
        <w:tc>
          <w:tcPr>
            <w:tcW w:w="948"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16學分</w:t>
            </w:r>
          </w:p>
        </w:tc>
        <w:tc>
          <w:tcPr>
            <w:tcW w:w="1522" w:type="pct"/>
            <w:vAlign w:val="center"/>
          </w:tcPr>
          <w:p w:rsidR="00D24B17" w:rsidRPr="00285BB1" w:rsidRDefault="00D24B17"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16學分</w:t>
            </w:r>
          </w:p>
        </w:tc>
      </w:tr>
      <w:tr w:rsidR="0059763F" w:rsidRPr="00285BB1" w:rsidTr="00D24B17">
        <w:trPr>
          <w:trHeight w:val="524"/>
        </w:trPr>
        <w:tc>
          <w:tcPr>
            <w:tcW w:w="1773" w:type="pct"/>
            <w:vAlign w:val="center"/>
          </w:tcPr>
          <w:p w:rsidR="0059763F" w:rsidRPr="0059763F" w:rsidRDefault="0059763F" w:rsidP="00D24B17">
            <w:pPr>
              <w:spacing w:afterLines="20" w:after="72" w:line="240" w:lineRule="exact"/>
              <w:jc w:val="center"/>
              <w:rPr>
                <w:rFonts w:ascii="標楷體" w:eastAsia="標楷體" w:hAnsi="標楷體"/>
                <w:bCs/>
                <w:sz w:val="22"/>
              </w:rPr>
            </w:pPr>
            <w:r w:rsidRPr="0059763F">
              <w:rPr>
                <w:rFonts w:ascii="標楷體" w:eastAsia="標楷體" w:hAnsi="標楷體" w:hint="eastAsia"/>
                <w:bCs/>
                <w:sz w:val="22"/>
              </w:rPr>
              <w:t>共同領域課程</w:t>
            </w:r>
          </w:p>
        </w:tc>
        <w:tc>
          <w:tcPr>
            <w:tcW w:w="1705" w:type="pct"/>
            <w:gridSpan w:val="2"/>
            <w:vAlign w:val="center"/>
          </w:tcPr>
          <w:p w:rsidR="0059763F" w:rsidRPr="0059763F" w:rsidRDefault="0059763F" w:rsidP="00D24B17">
            <w:pPr>
              <w:spacing w:afterLines="20" w:after="72" w:line="240" w:lineRule="exact"/>
              <w:jc w:val="center"/>
              <w:rPr>
                <w:rFonts w:ascii="標楷體" w:eastAsia="標楷體" w:hAnsi="標楷體"/>
                <w:bCs/>
                <w:sz w:val="22"/>
              </w:rPr>
            </w:pPr>
            <w:r w:rsidRPr="0059763F">
              <w:rPr>
                <w:rFonts w:ascii="標楷體" w:eastAsia="標楷體" w:hAnsi="標楷體" w:hint="eastAsia"/>
                <w:bCs/>
                <w:sz w:val="22"/>
              </w:rPr>
              <w:t>自由選修</w:t>
            </w:r>
          </w:p>
        </w:tc>
        <w:tc>
          <w:tcPr>
            <w:tcW w:w="1522" w:type="pct"/>
            <w:vAlign w:val="center"/>
          </w:tcPr>
          <w:p w:rsidR="0059763F" w:rsidRPr="0059763F" w:rsidRDefault="0059763F" w:rsidP="00D24B17">
            <w:pPr>
              <w:spacing w:afterLines="20" w:after="72" w:line="240" w:lineRule="exact"/>
              <w:jc w:val="center"/>
              <w:rPr>
                <w:rFonts w:ascii="標楷體" w:eastAsia="標楷體" w:hAnsi="標楷體"/>
                <w:bCs/>
                <w:color w:val="FF0000"/>
                <w:sz w:val="22"/>
              </w:rPr>
            </w:pPr>
          </w:p>
        </w:tc>
      </w:tr>
      <w:tr w:rsidR="0059763F" w:rsidRPr="00285BB1" w:rsidTr="00D24B17">
        <w:trPr>
          <w:trHeight w:val="524"/>
        </w:trPr>
        <w:tc>
          <w:tcPr>
            <w:tcW w:w="3478" w:type="pct"/>
            <w:gridSpan w:val="3"/>
            <w:vAlign w:val="center"/>
          </w:tcPr>
          <w:p w:rsidR="0059763F" w:rsidRPr="00285BB1" w:rsidRDefault="0059763F" w:rsidP="00D24B17">
            <w:pPr>
              <w:spacing w:afterLines="20" w:after="72" w:line="240" w:lineRule="exact"/>
              <w:jc w:val="center"/>
              <w:rPr>
                <w:rFonts w:ascii="標楷體" w:eastAsia="標楷體" w:hAnsi="標楷體"/>
                <w:bCs/>
                <w:sz w:val="22"/>
              </w:rPr>
            </w:pPr>
            <w:r>
              <w:rPr>
                <w:rFonts w:ascii="標楷體" w:eastAsia="標楷體" w:hAnsi="標楷體" w:hint="eastAsia"/>
                <w:bCs/>
                <w:sz w:val="22"/>
              </w:rPr>
              <w:t>總計</w:t>
            </w:r>
          </w:p>
        </w:tc>
        <w:tc>
          <w:tcPr>
            <w:tcW w:w="1522" w:type="pct"/>
            <w:vAlign w:val="center"/>
          </w:tcPr>
          <w:p w:rsidR="0059763F" w:rsidRPr="00285BB1" w:rsidRDefault="0059763F" w:rsidP="00D24B17">
            <w:pPr>
              <w:spacing w:afterLines="20" w:after="72" w:line="240" w:lineRule="exact"/>
              <w:jc w:val="center"/>
              <w:rPr>
                <w:rFonts w:ascii="標楷體" w:eastAsia="標楷體" w:hAnsi="標楷體"/>
                <w:bCs/>
                <w:sz w:val="22"/>
              </w:rPr>
            </w:pPr>
            <w:r w:rsidRPr="0059763F">
              <w:rPr>
                <w:rFonts w:ascii="標楷體" w:eastAsia="標楷體" w:hAnsi="標楷體" w:hint="eastAsia"/>
                <w:bCs/>
                <w:sz w:val="22"/>
              </w:rPr>
              <w:t>32學分</w:t>
            </w:r>
          </w:p>
        </w:tc>
      </w:tr>
    </w:tbl>
    <w:p w:rsidR="00A75E9A" w:rsidRPr="008D4871" w:rsidRDefault="00A75E9A" w:rsidP="00A75E9A">
      <w:pPr>
        <w:spacing w:beforeLines="50" w:before="180" w:afterLines="50" w:after="180"/>
        <w:rPr>
          <w:rFonts w:ascii="標楷體" w:eastAsia="標楷體" w:hAnsi="標楷體"/>
          <w:szCs w:val="28"/>
        </w:rPr>
      </w:pPr>
      <w:r w:rsidRPr="00A75E9A">
        <w:rPr>
          <w:rFonts w:ascii="標楷體" w:eastAsia="標楷體" w:hAnsi="標楷體" w:hint="eastAsia"/>
          <w:b/>
          <w:szCs w:val="28"/>
        </w:rPr>
        <w:t>三、選課須知暨學位申請要點</w:t>
      </w:r>
    </w:p>
    <w:p w:rsidR="00D21934" w:rsidRPr="00D21934" w:rsidRDefault="00A75E9A" w:rsidP="00D21934">
      <w:pPr>
        <w:jc w:val="both"/>
        <w:rPr>
          <w:rFonts w:ascii="標楷體" w:eastAsia="標楷體" w:hAnsi="標楷體"/>
          <w:szCs w:val="28"/>
        </w:rPr>
      </w:pPr>
      <w:r w:rsidRPr="008D4871">
        <w:rPr>
          <w:rFonts w:ascii="標楷體" w:eastAsia="標楷體" w:hAnsi="標楷體" w:hint="eastAsia"/>
          <w:szCs w:val="28"/>
        </w:rPr>
        <w:t>◎ 研究生需修３２學分。（含論文４學分）</w:t>
      </w:r>
    </w:p>
    <w:p w:rsidR="00D21934" w:rsidRPr="00D21934" w:rsidRDefault="00D21934" w:rsidP="00A75E9A">
      <w:pPr>
        <w:jc w:val="both"/>
        <w:rPr>
          <w:rFonts w:ascii="標楷體" w:eastAsia="標楷體" w:hAnsi="標楷體"/>
          <w:szCs w:val="28"/>
        </w:rPr>
      </w:pPr>
      <w:r w:rsidRPr="008D4871">
        <w:rPr>
          <w:rFonts w:ascii="標楷體" w:eastAsia="標楷體" w:hAnsi="標楷體" w:hint="eastAsia"/>
          <w:szCs w:val="28"/>
        </w:rPr>
        <w:t>◎ 每學期開課上限12學分。</w:t>
      </w:r>
    </w:p>
    <w:p w:rsidR="00A75E9A" w:rsidRPr="005C4F8F" w:rsidRDefault="00A75E9A" w:rsidP="00A75E9A">
      <w:pPr>
        <w:jc w:val="both"/>
        <w:rPr>
          <w:rFonts w:eastAsia="標楷體"/>
          <w:bCs/>
        </w:rPr>
      </w:pPr>
      <w:r w:rsidRPr="005C4F8F">
        <w:rPr>
          <w:rFonts w:ascii="標楷體" w:eastAsia="標楷體" w:hAnsi="標楷體" w:hint="eastAsia"/>
          <w:szCs w:val="28"/>
        </w:rPr>
        <w:t>◎</w:t>
      </w:r>
      <w:r w:rsidR="000F5B5A" w:rsidRPr="005C4F8F">
        <w:rPr>
          <w:rFonts w:eastAsia="標楷體" w:hint="eastAsia"/>
          <w:bCs/>
        </w:rPr>
        <w:t>學術研究倫理教育課程為必修，學分數為</w:t>
      </w:r>
      <w:r w:rsidR="000F5B5A" w:rsidRPr="005C4F8F">
        <w:rPr>
          <w:rFonts w:eastAsia="標楷體" w:hint="eastAsia"/>
          <w:bCs/>
        </w:rPr>
        <w:t>0</w:t>
      </w:r>
      <w:r w:rsidR="000F5B5A" w:rsidRPr="005C4F8F">
        <w:rPr>
          <w:rFonts w:eastAsia="標楷體" w:hint="eastAsia"/>
          <w:bCs/>
        </w:rPr>
        <w:t>學分，學生須於學位論文計畫審核前至「臺灣學術倫理教育資源中心」線上平臺修習指定課程，並通過課程總測驗成績及格標準，即可線上取得修課證明。</w:t>
      </w:r>
    </w:p>
    <w:p w:rsidR="00D21934" w:rsidRPr="005C4F8F" w:rsidRDefault="00D21934" w:rsidP="00D21934">
      <w:pPr>
        <w:jc w:val="both"/>
        <w:rPr>
          <w:rFonts w:ascii="標楷體" w:eastAsia="標楷體" w:hAnsi="標楷體"/>
          <w:sz w:val="22"/>
        </w:rPr>
      </w:pPr>
      <w:r w:rsidRPr="005C4F8F">
        <w:rPr>
          <w:rFonts w:ascii="標楷體" w:eastAsia="標楷體" w:hAnsi="標楷體" w:hint="eastAsia"/>
          <w:szCs w:val="28"/>
        </w:rPr>
        <w:t>◎</w:t>
      </w:r>
      <w:r w:rsidRPr="005C4F8F">
        <w:rPr>
          <w:rFonts w:ascii="標楷體" w:eastAsia="標楷體" w:hAnsi="標楷體" w:hint="eastAsia"/>
          <w:sz w:val="22"/>
        </w:rPr>
        <w:t>研究生經本系同意且符合下列條件，得跨校、跨進修推廣部或跨碩士班選修原班課程架構外其他相關系所碩士班開設之課程。</w:t>
      </w:r>
    </w:p>
    <w:p w:rsidR="00D21934" w:rsidRPr="005C4F8F" w:rsidRDefault="00D21934" w:rsidP="00D21934">
      <w:pPr>
        <w:numPr>
          <w:ilvl w:val="0"/>
          <w:numId w:val="1"/>
        </w:numPr>
        <w:snapToGrid w:val="0"/>
        <w:jc w:val="both"/>
        <w:rPr>
          <w:rFonts w:ascii="標楷體" w:eastAsia="標楷體" w:hAnsi="標楷體"/>
          <w:sz w:val="22"/>
        </w:rPr>
      </w:pPr>
      <w:r w:rsidRPr="005C4F8F">
        <w:rPr>
          <w:rFonts w:ascii="標楷體" w:eastAsia="標楷體" w:hAnsi="標楷體" w:hint="eastAsia"/>
          <w:sz w:val="22"/>
        </w:rPr>
        <w:t>必修科目不可跨系所選修。</w:t>
      </w:r>
    </w:p>
    <w:p w:rsidR="00D21934" w:rsidRPr="005C4F8F" w:rsidRDefault="00D21934" w:rsidP="00D21934">
      <w:pPr>
        <w:numPr>
          <w:ilvl w:val="0"/>
          <w:numId w:val="1"/>
        </w:numPr>
        <w:snapToGrid w:val="0"/>
        <w:jc w:val="both"/>
        <w:rPr>
          <w:rFonts w:ascii="標楷體" w:eastAsia="標楷體" w:hAnsi="標楷體"/>
          <w:sz w:val="22"/>
        </w:rPr>
      </w:pPr>
      <w:r w:rsidRPr="005C4F8F">
        <w:rPr>
          <w:rFonts w:ascii="標楷體" w:eastAsia="標楷體" w:hAnsi="標楷體" w:hint="eastAsia"/>
          <w:sz w:val="22"/>
        </w:rPr>
        <w:t>總選修課程不得超過二門或六學分，且應受每學期限修學分之限制。</w:t>
      </w:r>
    </w:p>
    <w:p w:rsidR="00D21934" w:rsidRPr="005C4F8F" w:rsidRDefault="00D21934" w:rsidP="00D21934">
      <w:pPr>
        <w:numPr>
          <w:ilvl w:val="0"/>
          <w:numId w:val="1"/>
        </w:numPr>
        <w:snapToGrid w:val="0"/>
        <w:jc w:val="both"/>
        <w:rPr>
          <w:rFonts w:ascii="標楷體" w:eastAsia="標楷體" w:hAnsi="標楷體"/>
          <w:sz w:val="22"/>
        </w:rPr>
      </w:pPr>
      <w:r w:rsidRPr="005C4F8F">
        <w:rPr>
          <w:rFonts w:ascii="標楷體" w:eastAsia="標楷體" w:hAnsi="標楷體" w:hint="eastAsia"/>
          <w:sz w:val="22"/>
        </w:rPr>
        <w:t>本校日間部學生與進修學制學生得互選課程，每學期以二門課程為限，總學分不得超過六學分，且應受每學期限修學分之限制。</w:t>
      </w:r>
    </w:p>
    <w:p w:rsidR="00D21934" w:rsidRPr="005C4F8F" w:rsidRDefault="00D21934" w:rsidP="00D21934">
      <w:pPr>
        <w:numPr>
          <w:ilvl w:val="0"/>
          <w:numId w:val="1"/>
        </w:numPr>
        <w:snapToGrid w:val="0"/>
        <w:jc w:val="both"/>
        <w:rPr>
          <w:rFonts w:ascii="標楷體" w:eastAsia="標楷體" w:hAnsi="標楷體"/>
          <w:sz w:val="22"/>
        </w:rPr>
      </w:pPr>
      <w:r w:rsidRPr="005C4F8F">
        <w:rPr>
          <w:rFonts w:ascii="標楷體" w:eastAsia="標楷體" w:hAnsi="標楷體" w:hint="eastAsia"/>
          <w:sz w:val="22"/>
        </w:rPr>
        <w:t>本校學生選讀他校學分數，研究生以每學期一門課程三學分為限，全部學分不得超過二門課程六學分，且應受每學期限修學分之限制。</w:t>
      </w:r>
    </w:p>
    <w:p w:rsidR="00D21934" w:rsidRPr="005C4F8F" w:rsidRDefault="00D21934" w:rsidP="00D21934">
      <w:pPr>
        <w:numPr>
          <w:ilvl w:val="0"/>
          <w:numId w:val="1"/>
        </w:numPr>
        <w:snapToGrid w:val="0"/>
        <w:jc w:val="both"/>
        <w:rPr>
          <w:rFonts w:ascii="標楷體" w:eastAsia="標楷體" w:hAnsi="標楷體"/>
          <w:sz w:val="22"/>
        </w:rPr>
      </w:pPr>
      <w:r w:rsidRPr="005C4F8F">
        <w:rPr>
          <w:rFonts w:ascii="標楷體" w:eastAsia="標楷體" w:hAnsi="標楷體" w:hint="eastAsia"/>
          <w:sz w:val="22"/>
        </w:rPr>
        <w:t>跨系所選修之科</w:t>
      </w:r>
      <w:bookmarkStart w:id="1" w:name="_GoBack"/>
      <w:r w:rsidRPr="005C4F8F">
        <w:rPr>
          <w:rFonts w:ascii="標楷體" w:eastAsia="標楷體" w:hAnsi="標楷體" w:hint="eastAsia"/>
          <w:sz w:val="22"/>
        </w:rPr>
        <w:t>目課程屬性須與原</w:t>
      </w:r>
      <w:bookmarkEnd w:id="1"/>
      <w:r w:rsidRPr="005C4F8F">
        <w:rPr>
          <w:rFonts w:ascii="標楷體" w:eastAsia="標楷體" w:hAnsi="標楷體" w:hint="eastAsia"/>
          <w:sz w:val="22"/>
        </w:rPr>
        <w:t>班課程架構的選修課程屬性相同才可認抵。</w:t>
      </w:r>
    </w:p>
    <w:p w:rsidR="00D21934" w:rsidRDefault="00A75E9A" w:rsidP="00363248">
      <w:pPr>
        <w:rPr>
          <w:rFonts w:ascii="標楷體" w:eastAsia="標楷體" w:hAnsi="標楷體"/>
        </w:rPr>
      </w:pPr>
      <w:r w:rsidRPr="008D4871">
        <w:rPr>
          <w:rFonts w:ascii="標楷體" w:eastAsia="標楷體" w:hAnsi="標楷體" w:hint="eastAsia"/>
          <w:szCs w:val="28"/>
        </w:rPr>
        <w:t>●每生畢業前須提一篇相關論文，發表在學報、學術研究期刊、研討會、論壇，或具有GPN、ISSN、ISBN刊物之學術性論文為原則</w:t>
      </w:r>
      <w:r w:rsidRPr="008D4871">
        <w:rPr>
          <w:rFonts w:ascii="標楷體" w:eastAsia="標楷體" w:hAnsi="標楷體" w:hint="eastAsia"/>
        </w:rPr>
        <w:t>。</w:t>
      </w:r>
      <w:r w:rsidR="00D21934">
        <w:rPr>
          <w:rFonts w:ascii="標楷體" w:eastAsia="標楷體" w:hAnsi="標楷體"/>
        </w:rPr>
        <w:br w:type="page"/>
      </w:r>
    </w:p>
    <w:p w:rsidR="005C4F8F" w:rsidRPr="006B4C87" w:rsidRDefault="006D5C13" w:rsidP="005C4F8F">
      <w:pPr>
        <w:spacing w:beforeLines="50" w:before="180" w:afterLines="50" w:after="180"/>
        <w:rPr>
          <w:rFonts w:eastAsia="標楷體"/>
          <w:szCs w:val="28"/>
        </w:rPr>
      </w:pPr>
      <w:r>
        <w:rPr>
          <w:rFonts w:ascii="標楷體" w:eastAsia="標楷體" w:hAnsi="標楷體" w:hint="eastAsia"/>
          <w:b/>
          <w:szCs w:val="28"/>
        </w:rPr>
        <w:lastRenderedPageBreak/>
        <w:t>四</w:t>
      </w:r>
      <w:r w:rsidR="00A75E9A" w:rsidRPr="00A75E9A">
        <w:rPr>
          <w:rFonts w:ascii="標楷體" w:eastAsia="標楷體" w:hAnsi="標楷體" w:hint="eastAsia"/>
          <w:b/>
          <w:szCs w:val="28"/>
        </w:rPr>
        <w:t>、教育行政碩士在職專班</w:t>
      </w:r>
      <w:r w:rsidR="00A75E9A">
        <w:rPr>
          <w:rFonts w:ascii="標楷體" w:eastAsia="標楷體" w:hAnsi="標楷體" w:hint="eastAsia"/>
          <w:b/>
          <w:szCs w:val="28"/>
        </w:rPr>
        <w:t>課程架構</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536"/>
        <w:gridCol w:w="2888"/>
        <w:gridCol w:w="1985"/>
        <w:gridCol w:w="711"/>
        <w:gridCol w:w="482"/>
        <w:gridCol w:w="482"/>
        <w:gridCol w:w="2450"/>
        <w:gridCol w:w="698"/>
      </w:tblGrid>
      <w:tr w:rsidR="005C4F8F" w:rsidRPr="006B4C87" w:rsidTr="00363725">
        <w:trPr>
          <w:cantSplit/>
          <w:trHeight w:val="747"/>
          <w:tblHeader/>
          <w:jc w:val="center"/>
        </w:trPr>
        <w:tc>
          <w:tcPr>
            <w:tcW w:w="26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b/>
              </w:rPr>
            </w:pPr>
            <w:r w:rsidRPr="006B4C87">
              <w:rPr>
                <w:rFonts w:eastAsia="標楷體"/>
                <w:b/>
              </w:rPr>
              <w:t>類</w:t>
            </w:r>
            <w:r w:rsidRPr="006B4C87">
              <w:rPr>
                <w:rFonts w:eastAsia="標楷體"/>
                <w:b/>
              </w:rPr>
              <w:t xml:space="preserve">   </w:t>
            </w:r>
            <w:r w:rsidRPr="006B4C87">
              <w:rPr>
                <w:rFonts w:eastAsia="標楷體"/>
                <w:b/>
              </w:rPr>
              <w:t>別</w:t>
            </w:r>
          </w:p>
        </w:tc>
        <w:tc>
          <w:tcPr>
            <w:tcW w:w="248"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b/>
              </w:rPr>
            </w:pPr>
            <w:r w:rsidRPr="006B4C87">
              <w:rPr>
                <w:rFonts w:eastAsia="標楷體"/>
                <w:b/>
              </w:rPr>
              <w:t>學分數</w:t>
            </w: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b/>
              </w:rPr>
            </w:pPr>
            <w:r w:rsidRPr="006B4C87">
              <w:rPr>
                <w:rFonts w:eastAsia="標楷體"/>
                <w:b/>
              </w:rPr>
              <w:t>科目中文名稱</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ind w:left="-39" w:firstLineChars="6" w:firstLine="14"/>
              <w:jc w:val="both"/>
              <w:rPr>
                <w:rFonts w:eastAsia="標楷體"/>
                <w:b/>
              </w:rPr>
            </w:pPr>
            <w:r w:rsidRPr="006B4C87">
              <w:rPr>
                <w:rFonts w:eastAsia="標楷體"/>
                <w:b/>
              </w:rPr>
              <w:t>科目代碼</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b/>
              </w:rPr>
            </w:pPr>
            <w:r w:rsidRPr="006B4C87">
              <w:rPr>
                <w:rFonts w:eastAsia="標楷體"/>
                <w:b/>
              </w:rPr>
              <w:t>必選修</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b/>
              </w:rPr>
            </w:pPr>
            <w:r w:rsidRPr="006B4C87">
              <w:rPr>
                <w:rFonts w:eastAsia="標楷體"/>
                <w:b/>
              </w:rPr>
              <w:t>學分</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b/>
              </w:rPr>
            </w:pPr>
            <w:r w:rsidRPr="006B4C87">
              <w:rPr>
                <w:rFonts w:eastAsia="標楷體"/>
                <w:b/>
              </w:rPr>
              <w:t>時</w:t>
            </w:r>
          </w:p>
          <w:p w:rsidR="005C4F8F" w:rsidRPr="006B4C87" w:rsidRDefault="005C4F8F" w:rsidP="00363725">
            <w:pPr>
              <w:jc w:val="center"/>
              <w:rPr>
                <w:rFonts w:eastAsia="標楷體"/>
                <w:b/>
              </w:rPr>
            </w:pPr>
            <w:r w:rsidRPr="006B4C87">
              <w:rPr>
                <w:rFonts w:eastAsia="標楷體"/>
                <w:b/>
              </w:rPr>
              <w:t>數</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b/>
              </w:rPr>
            </w:pPr>
            <w:r w:rsidRPr="006B4C87">
              <w:rPr>
                <w:rFonts w:eastAsia="標楷體"/>
                <w:b/>
              </w:rPr>
              <w:t>科目英文名稱</w:t>
            </w:r>
          </w:p>
        </w:tc>
        <w:tc>
          <w:tcPr>
            <w:tcW w:w="3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b/>
              </w:rPr>
            </w:pPr>
            <w:r w:rsidRPr="006B4C87">
              <w:rPr>
                <w:rFonts w:eastAsia="標楷體"/>
                <w:b/>
              </w:rPr>
              <w:t>備註</w:t>
            </w:r>
          </w:p>
        </w:tc>
      </w:tr>
      <w:tr w:rsidR="005C4F8F" w:rsidRPr="006B4C87" w:rsidTr="00363725">
        <w:trPr>
          <w:cantSplit/>
          <w:trHeight w:val="454"/>
          <w:jc w:val="center"/>
        </w:trPr>
        <w:tc>
          <w:tcPr>
            <w:tcW w:w="264" w:type="pct"/>
            <w:vMerge w:val="restar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共同必修</w:t>
            </w:r>
          </w:p>
        </w:tc>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必修</w:t>
            </w:r>
            <w:r w:rsidRPr="006B4C87">
              <w:rPr>
                <w:rFonts w:eastAsia="標楷體"/>
              </w:rPr>
              <w:t>8</w:t>
            </w:r>
          </w:p>
          <w:p w:rsidR="005C4F8F" w:rsidRPr="006B4C87" w:rsidRDefault="005C4F8F" w:rsidP="00363725">
            <w:pPr>
              <w:jc w:val="center"/>
              <w:rPr>
                <w:rFonts w:eastAsia="標楷體"/>
              </w:rPr>
            </w:pPr>
            <w:r w:rsidRPr="006B4C87">
              <w:rPr>
                <w:rFonts w:eastAsia="標楷體"/>
              </w:rPr>
              <w:t>學分</w:t>
            </w: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學位論文</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EED61D00B003</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必</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4</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4</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Master Thesis</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社會科學與教育研究法</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EED61D00B001</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必</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Research Methods in Social Science and Education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教育統計</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EED61D00B002</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必</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Statistics in Education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選修</w:t>
            </w:r>
            <w:r w:rsidRPr="006B4C87">
              <w:rPr>
                <w:rFonts w:eastAsia="標楷體"/>
              </w:rPr>
              <w:t>2</w:t>
            </w:r>
          </w:p>
          <w:p w:rsidR="005C4F8F" w:rsidRPr="006B4C87" w:rsidRDefault="005C4F8F" w:rsidP="00363725">
            <w:pPr>
              <w:jc w:val="center"/>
              <w:rPr>
                <w:rFonts w:eastAsia="標楷體"/>
              </w:rPr>
            </w:pPr>
            <w:r w:rsidRPr="006B4C87">
              <w:rPr>
                <w:rFonts w:eastAsia="標楷體"/>
              </w:rPr>
              <w:t>學分</w:t>
            </w: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質的研究法</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EED63D00B001</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snapToGrid w:val="0"/>
              <w:rPr>
                <w:rFonts w:eastAsia="標楷體"/>
                <w:sz w:val="22"/>
              </w:rPr>
            </w:pPr>
            <w:r w:rsidRPr="005736B7">
              <w:rPr>
                <w:rFonts w:eastAsia="標楷體"/>
                <w:sz w:val="22"/>
              </w:rPr>
              <w:t>Qualitative Research</w:t>
            </w:r>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5</w:t>
            </w:r>
            <w:r w:rsidRPr="005736B7">
              <w:rPr>
                <w:rFonts w:eastAsia="標楷體"/>
              </w:rPr>
              <w:t>選</w:t>
            </w:r>
            <w:r w:rsidRPr="005736B7">
              <w:rPr>
                <w:rFonts w:eastAsia="標楷體"/>
              </w:rPr>
              <w:t>1</w:t>
            </w: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調查研究法</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EED63D00B002</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snapToGrid w:val="0"/>
              <w:rPr>
                <w:rFonts w:eastAsia="標楷體"/>
                <w:sz w:val="22"/>
              </w:rPr>
            </w:pPr>
            <w:r w:rsidRPr="005736B7">
              <w:rPr>
                <w:rFonts w:eastAsia="標楷體"/>
                <w:sz w:val="22"/>
              </w:rPr>
              <w:t>Research Filed Work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widowControl/>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歷史研究法</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EED63D00B003</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snapToGrid w:val="0"/>
              <w:rPr>
                <w:rFonts w:eastAsia="標楷體"/>
                <w:sz w:val="22"/>
              </w:rPr>
            </w:pPr>
            <w:r w:rsidRPr="005736B7">
              <w:rPr>
                <w:rFonts w:eastAsia="標楷體"/>
                <w:sz w:val="22"/>
              </w:rPr>
              <w:t>Research Methods in History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widowControl/>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論文寫作研究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EED63D00B004</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snapToGrid w:val="0"/>
              <w:rPr>
                <w:rFonts w:eastAsia="標楷體"/>
                <w:sz w:val="22"/>
              </w:rPr>
            </w:pPr>
            <w:r w:rsidRPr="005736B7">
              <w:rPr>
                <w:rFonts w:eastAsia="標楷體"/>
                <w:sz w:val="22"/>
              </w:rPr>
              <w:t>Studies in Thesis Writing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widowControl/>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行動研究法</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EED63D00B005</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snapToGrid w:val="0"/>
              <w:rPr>
                <w:rFonts w:eastAsia="標楷體"/>
                <w:sz w:val="22"/>
              </w:rPr>
            </w:pPr>
            <w:r w:rsidRPr="005736B7">
              <w:rPr>
                <w:rFonts w:eastAsia="標楷體"/>
                <w:sz w:val="22"/>
              </w:rPr>
              <w:t>Action Research Method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widowControl/>
              <w:rPr>
                <w:rFonts w:eastAsia="標楷體"/>
              </w:rPr>
            </w:pPr>
          </w:p>
        </w:tc>
      </w:tr>
      <w:tr w:rsidR="005C4F8F" w:rsidRPr="006B4C87" w:rsidTr="00363725">
        <w:trPr>
          <w:cantSplit/>
          <w:trHeight w:val="454"/>
          <w:jc w:val="center"/>
        </w:trPr>
        <w:tc>
          <w:tcPr>
            <w:tcW w:w="264" w:type="pct"/>
            <w:vMerge w:val="restar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一般必修</w:t>
            </w:r>
          </w:p>
        </w:tc>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必修</w:t>
            </w:r>
            <w:r w:rsidRPr="006B4C87">
              <w:rPr>
                <w:rFonts w:eastAsia="標楷體"/>
              </w:rPr>
              <w:t>4</w:t>
            </w:r>
          </w:p>
          <w:p w:rsidR="005C4F8F" w:rsidRPr="006B4C87" w:rsidRDefault="005C4F8F" w:rsidP="00363725">
            <w:pPr>
              <w:jc w:val="center"/>
              <w:rPr>
                <w:rFonts w:eastAsia="標楷體"/>
              </w:rPr>
            </w:pPr>
            <w:r w:rsidRPr="006B4C87">
              <w:rPr>
                <w:rFonts w:eastAsia="標楷體"/>
              </w:rPr>
              <w:t>學分</w:t>
            </w: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教育行政研究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EED63D00C005</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Educational Administration</w:t>
            </w:r>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4</w:t>
            </w:r>
            <w:r w:rsidRPr="006B4C87">
              <w:rPr>
                <w:rFonts w:eastAsia="標楷體"/>
              </w:rPr>
              <w:t>選</w:t>
            </w:r>
            <w:r w:rsidRPr="006B4C87">
              <w:rPr>
                <w:rFonts w:eastAsia="標楷體"/>
              </w:rPr>
              <w:t>2</w:t>
            </w: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領導理論與實務研究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EED63D00C006</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Leadership in Theory and Practice Research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行政法研究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EED63D00C007</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Administrative Law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終身教育理論與實踐研究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EED63D00C008</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Lifelong Education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r>
      <w:tr w:rsidR="005C4F8F" w:rsidRPr="006B4C87" w:rsidTr="00363725">
        <w:trPr>
          <w:cantSplit/>
          <w:trHeight w:val="454"/>
          <w:jc w:val="center"/>
        </w:trPr>
        <w:tc>
          <w:tcPr>
            <w:tcW w:w="264" w:type="pct"/>
            <w:vMerge w:val="restar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選修</w:t>
            </w:r>
          </w:p>
        </w:tc>
        <w:tc>
          <w:tcPr>
            <w:tcW w:w="248" w:type="pct"/>
            <w:vMerge w:val="restar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選修</w:t>
            </w:r>
          </w:p>
          <w:p w:rsidR="005C4F8F" w:rsidRPr="006B4C87" w:rsidRDefault="005C4F8F" w:rsidP="00363725">
            <w:pPr>
              <w:jc w:val="center"/>
              <w:rPr>
                <w:rFonts w:eastAsia="標楷體"/>
              </w:rPr>
            </w:pPr>
            <w:r w:rsidRPr="006B4C87">
              <w:rPr>
                <w:rFonts w:eastAsia="標楷體"/>
              </w:rPr>
              <w:t>16</w:t>
            </w:r>
            <w:r w:rsidRPr="006B4C87">
              <w:rPr>
                <w:rFonts w:eastAsia="標楷體"/>
              </w:rPr>
              <w:t>學分</w:t>
            </w: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行政組織及救濟法研究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EED62D00D001</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Administrative Organization and Administrative Remedies</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教育社會學研究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EED62D00D039</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Sociology of Education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教育行政實務研究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EED62D00D003</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Educational Administration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教育政策分析研究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EED62D00D040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Educational Policy Analysis</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行政決定歷程研究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EED62D00D005</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 xml:space="preserve">Studies in Administrative Process and Decision </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管理哲學研究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EED62D00D041</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Philosophy of Management</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社會變遷與教育研究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EED62D00D007</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Social Change and Education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行政倫理研究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EED62D00D042</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Ethics of Administration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行政組織行為分析研究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EED62D00D043</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Administrative Organization Behavior Analysis</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教育計畫與實施研究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EED62D00D054</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Educational Planning and Practice</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5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教育財政理論與實務研究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EED62D00D045</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Theory and Practice of School Finance</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教育管理理論與實務研究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EED62D00D046</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Administrative Education and Practice</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談判與衝突管理研究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EED62D00D047</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Negotiation and Conflict Management</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社會心理學研究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EED62D00D048</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Social Psychology</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人事行政研究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EED62D00D015</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Personnel Administration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視導理論與實務研究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EED62D00D049</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Practice of Educational Supervision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在職進修與訓練研究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EED62D00D050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Service Education and Training</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量化資料分析研究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EED62D00D051</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Quantitative Data Analysis</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教育測驗與評量研究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EED62D00D052</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Educational Testing and Assessment</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教學革新研究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both"/>
              <w:rPr>
                <w:rFonts w:eastAsia="標楷體"/>
              </w:rPr>
            </w:pPr>
            <w:r w:rsidRPr="006B4C87">
              <w:rPr>
                <w:rFonts w:eastAsia="標楷體"/>
              </w:rPr>
              <w:t>EED62D00D020</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jc w:val="center"/>
              <w:rPr>
                <w:rFonts w:eastAsia="標楷體"/>
              </w:rPr>
            </w:pPr>
            <w:r w:rsidRPr="006B4C8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snapToGrid w:val="0"/>
              <w:rPr>
                <w:rFonts w:eastAsia="標楷體"/>
                <w:sz w:val="22"/>
              </w:rPr>
            </w:pPr>
            <w:r w:rsidRPr="006B4C87">
              <w:rPr>
                <w:rFonts w:eastAsia="標楷體"/>
                <w:sz w:val="22"/>
              </w:rPr>
              <w:t>Studies in Instructional Innovation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資訊科技與教育研究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EED62D00D055</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3</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3</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snapToGrid w:val="0"/>
              <w:rPr>
                <w:rFonts w:eastAsia="標楷體"/>
                <w:sz w:val="22"/>
              </w:rPr>
            </w:pPr>
            <w:r w:rsidRPr="005736B7">
              <w:rPr>
                <w:rFonts w:eastAsia="標楷體"/>
                <w:sz w:val="22"/>
              </w:rPr>
              <w:t>Information Technology and Educational Research</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學校行政電腦化研究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EED62D00D022</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snapToGrid w:val="0"/>
              <w:rPr>
                <w:rFonts w:eastAsia="標楷體"/>
                <w:sz w:val="22"/>
              </w:rPr>
            </w:pPr>
            <w:r w:rsidRPr="005736B7">
              <w:rPr>
                <w:rFonts w:eastAsia="標楷體"/>
                <w:sz w:val="22"/>
              </w:rPr>
              <w:t>Studies in Computerized Administration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課程設計研究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EED62D00D053</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snapToGrid w:val="0"/>
              <w:rPr>
                <w:rFonts w:eastAsia="標楷體"/>
                <w:sz w:val="22"/>
              </w:rPr>
            </w:pPr>
            <w:r w:rsidRPr="005736B7">
              <w:rPr>
                <w:rFonts w:eastAsia="標楷體"/>
                <w:sz w:val="22"/>
              </w:rPr>
              <w:t>Studies in Curriculum Design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認知心理學研究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 xml:space="preserve">EED62D00D024 </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snapToGrid w:val="0"/>
              <w:rPr>
                <w:rFonts w:eastAsia="標楷體"/>
                <w:sz w:val="22"/>
              </w:rPr>
            </w:pPr>
            <w:r w:rsidRPr="005736B7">
              <w:rPr>
                <w:rFonts w:eastAsia="標楷體"/>
                <w:sz w:val="22"/>
              </w:rPr>
              <w:t>Studies in Cognitive Psychology</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認知與教學研究</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EED62D00D025</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2</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snapToGrid w:val="0"/>
              <w:rPr>
                <w:rFonts w:eastAsia="標楷體"/>
                <w:sz w:val="22"/>
              </w:rPr>
            </w:pPr>
            <w:r w:rsidRPr="005736B7">
              <w:rPr>
                <w:rFonts w:eastAsia="標楷體"/>
                <w:sz w:val="22"/>
              </w:rPr>
              <w:t>Studies in Cognition and Instruction</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r w:rsidR="005C4F8F" w:rsidRPr="006B4C87" w:rsidTr="00363725">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4F8F" w:rsidRPr="006B4C87" w:rsidRDefault="005C4F8F" w:rsidP="00363725">
            <w:pPr>
              <w:widowControl/>
              <w:rPr>
                <w:rFonts w:eastAsia="標楷體"/>
              </w:rPr>
            </w:pPr>
          </w:p>
        </w:tc>
        <w:tc>
          <w:tcPr>
            <w:tcW w:w="1337"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國際教育交流與海外參訪</w:t>
            </w:r>
          </w:p>
        </w:tc>
        <w:tc>
          <w:tcPr>
            <w:tcW w:w="91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both"/>
              <w:rPr>
                <w:rFonts w:eastAsia="標楷體"/>
              </w:rPr>
            </w:pPr>
            <w:r w:rsidRPr="005736B7">
              <w:rPr>
                <w:rFonts w:eastAsia="標楷體"/>
              </w:rPr>
              <w:t>EED62D00D056</w:t>
            </w:r>
          </w:p>
        </w:tc>
        <w:tc>
          <w:tcPr>
            <w:tcW w:w="329"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選</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3</w:t>
            </w:r>
          </w:p>
        </w:tc>
        <w:tc>
          <w:tcPr>
            <w:tcW w:w="223"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jc w:val="center"/>
              <w:rPr>
                <w:rFonts w:eastAsia="標楷體"/>
              </w:rPr>
            </w:pPr>
            <w:r w:rsidRPr="005736B7">
              <w:rPr>
                <w:rFonts w:eastAsia="標楷體"/>
              </w:rPr>
              <w:t>3</w:t>
            </w:r>
          </w:p>
        </w:tc>
        <w:tc>
          <w:tcPr>
            <w:tcW w:w="1134" w:type="pct"/>
            <w:tcBorders>
              <w:top w:val="single" w:sz="4" w:space="0" w:color="auto"/>
              <w:left w:val="single" w:sz="4" w:space="0" w:color="auto"/>
              <w:bottom w:val="single" w:sz="4" w:space="0" w:color="auto"/>
              <w:right w:val="single" w:sz="4" w:space="0" w:color="auto"/>
            </w:tcBorders>
            <w:vAlign w:val="center"/>
            <w:hideMark/>
          </w:tcPr>
          <w:p w:rsidR="005C4F8F" w:rsidRPr="005736B7" w:rsidRDefault="005C4F8F" w:rsidP="00363725">
            <w:pPr>
              <w:snapToGrid w:val="0"/>
              <w:rPr>
                <w:rFonts w:eastAsia="標楷體"/>
                <w:sz w:val="22"/>
              </w:rPr>
            </w:pPr>
            <w:r w:rsidRPr="005736B7">
              <w:rPr>
                <w:rFonts w:eastAsia="標楷體"/>
                <w:sz w:val="22"/>
              </w:rPr>
              <w:t>International Education &amp; Overseas Visiting</w:t>
            </w:r>
          </w:p>
        </w:tc>
        <w:tc>
          <w:tcPr>
            <w:tcW w:w="323" w:type="pct"/>
            <w:tcBorders>
              <w:top w:val="single" w:sz="4" w:space="0" w:color="auto"/>
              <w:left w:val="single" w:sz="4" w:space="0" w:color="auto"/>
              <w:bottom w:val="single" w:sz="4" w:space="0" w:color="auto"/>
              <w:right w:val="single" w:sz="4" w:space="0" w:color="auto"/>
            </w:tcBorders>
            <w:vAlign w:val="center"/>
          </w:tcPr>
          <w:p w:rsidR="005C4F8F" w:rsidRPr="006B4C87" w:rsidRDefault="005C4F8F" w:rsidP="00363725">
            <w:pPr>
              <w:jc w:val="both"/>
              <w:rPr>
                <w:rFonts w:eastAsia="標楷體"/>
              </w:rPr>
            </w:pPr>
          </w:p>
        </w:tc>
      </w:tr>
    </w:tbl>
    <w:p w:rsidR="005C4F8F" w:rsidRPr="006B4C87" w:rsidRDefault="005C4F8F" w:rsidP="005C4F8F">
      <w:pPr>
        <w:rPr>
          <w:rFonts w:eastAsia="標楷體"/>
          <w:b/>
        </w:rPr>
      </w:pPr>
    </w:p>
    <w:p w:rsidR="005C4F8F" w:rsidRPr="007A69B5" w:rsidRDefault="005C4F8F" w:rsidP="00A75E9A">
      <w:pPr>
        <w:spacing w:beforeLines="50" w:before="180" w:afterLines="50" w:after="180"/>
      </w:pPr>
    </w:p>
    <w:sectPr w:rsidR="005C4F8F" w:rsidRPr="007A69B5" w:rsidSect="00BC77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A27" w:rsidRDefault="00D95A27" w:rsidP="000F5B5A">
      <w:r>
        <w:separator/>
      </w:r>
    </w:p>
  </w:endnote>
  <w:endnote w:type="continuationSeparator" w:id="0">
    <w:p w:rsidR="00D95A27" w:rsidRDefault="00D95A27" w:rsidP="000F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A27" w:rsidRDefault="00D95A27" w:rsidP="000F5B5A">
      <w:r>
        <w:separator/>
      </w:r>
    </w:p>
  </w:footnote>
  <w:footnote w:type="continuationSeparator" w:id="0">
    <w:p w:rsidR="00D95A27" w:rsidRDefault="00D95A27" w:rsidP="000F5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D3CEE"/>
    <w:multiLevelType w:val="hybridMultilevel"/>
    <w:tmpl w:val="129A0B0A"/>
    <w:lvl w:ilvl="0" w:tplc="E62CB00E">
      <w:start w:val="1"/>
      <w:numFmt w:val="decimal"/>
      <w:lvlText w:val="(%1)."/>
      <w:lvlJc w:val="left"/>
      <w:pPr>
        <w:ind w:left="1140" w:hanging="480"/>
      </w:pPr>
      <w:rPr>
        <w:color w:val="auto"/>
      </w:rPr>
    </w:lvl>
    <w:lvl w:ilvl="1" w:tplc="04090019">
      <w:start w:val="1"/>
      <w:numFmt w:val="ideographTraditional"/>
      <w:lvlText w:val="%2、"/>
      <w:lvlJc w:val="left"/>
      <w:pPr>
        <w:ind w:left="1620" w:hanging="480"/>
      </w:pPr>
    </w:lvl>
    <w:lvl w:ilvl="2" w:tplc="0409001B">
      <w:start w:val="1"/>
      <w:numFmt w:val="lowerRoman"/>
      <w:lvlText w:val="%3."/>
      <w:lvlJc w:val="right"/>
      <w:pPr>
        <w:ind w:left="2100" w:hanging="480"/>
      </w:pPr>
    </w:lvl>
    <w:lvl w:ilvl="3" w:tplc="0409000F">
      <w:start w:val="1"/>
      <w:numFmt w:val="decimal"/>
      <w:lvlText w:val="%4."/>
      <w:lvlJc w:val="left"/>
      <w:pPr>
        <w:ind w:left="2580" w:hanging="480"/>
      </w:pPr>
    </w:lvl>
    <w:lvl w:ilvl="4" w:tplc="04090019">
      <w:start w:val="1"/>
      <w:numFmt w:val="ideographTraditional"/>
      <w:lvlText w:val="%5、"/>
      <w:lvlJc w:val="left"/>
      <w:pPr>
        <w:ind w:left="3060" w:hanging="480"/>
      </w:pPr>
    </w:lvl>
    <w:lvl w:ilvl="5" w:tplc="0409001B">
      <w:start w:val="1"/>
      <w:numFmt w:val="lowerRoman"/>
      <w:lvlText w:val="%6."/>
      <w:lvlJc w:val="right"/>
      <w:pPr>
        <w:ind w:left="3540" w:hanging="480"/>
      </w:pPr>
    </w:lvl>
    <w:lvl w:ilvl="6" w:tplc="0409000F">
      <w:start w:val="1"/>
      <w:numFmt w:val="decimal"/>
      <w:lvlText w:val="%7."/>
      <w:lvlJc w:val="left"/>
      <w:pPr>
        <w:ind w:left="4020" w:hanging="480"/>
      </w:pPr>
    </w:lvl>
    <w:lvl w:ilvl="7" w:tplc="04090019">
      <w:start w:val="1"/>
      <w:numFmt w:val="ideographTraditional"/>
      <w:lvlText w:val="%8、"/>
      <w:lvlJc w:val="left"/>
      <w:pPr>
        <w:ind w:left="4500" w:hanging="480"/>
      </w:pPr>
    </w:lvl>
    <w:lvl w:ilvl="8" w:tplc="0409001B">
      <w:start w:val="1"/>
      <w:numFmt w:val="lowerRoman"/>
      <w:lvlText w:val="%9."/>
      <w:lvlJc w:val="right"/>
      <w:pPr>
        <w:ind w:left="4980" w:hanging="480"/>
      </w:pPr>
    </w:lvl>
  </w:abstractNum>
  <w:abstractNum w:abstractNumId="1" w15:restartNumberingAfterBreak="0">
    <w:nsid w:val="23150C41"/>
    <w:multiLevelType w:val="hybridMultilevel"/>
    <w:tmpl w:val="129A0B0A"/>
    <w:lvl w:ilvl="0" w:tplc="E62CB00E">
      <w:start w:val="1"/>
      <w:numFmt w:val="decimal"/>
      <w:lvlText w:val="(%1)."/>
      <w:lvlJc w:val="left"/>
      <w:pPr>
        <w:ind w:left="1140" w:hanging="480"/>
      </w:pPr>
      <w:rPr>
        <w:color w:val="auto"/>
      </w:rPr>
    </w:lvl>
    <w:lvl w:ilvl="1" w:tplc="04090019">
      <w:start w:val="1"/>
      <w:numFmt w:val="ideographTraditional"/>
      <w:lvlText w:val="%2、"/>
      <w:lvlJc w:val="left"/>
      <w:pPr>
        <w:ind w:left="1620" w:hanging="480"/>
      </w:pPr>
    </w:lvl>
    <w:lvl w:ilvl="2" w:tplc="0409001B">
      <w:start w:val="1"/>
      <w:numFmt w:val="lowerRoman"/>
      <w:lvlText w:val="%3."/>
      <w:lvlJc w:val="right"/>
      <w:pPr>
        <w:ind w:left="2100" w:hanging="480"/>
      </w:pPr>
    </w:lvl>
    <w:lvl w:ilvl="3" w:tplc="0409000F">
      <w:start w:val="1"/>
      <w:numFmt w:val="decimal"/>
      <w:lvlText w:val="%4."/>
      <w:lvlJc w:val="left"/>
      <w:pPr>
        <w:ind w:left="2580" w:hanging="480"/>
      </w:pPr>
    </w:lvl>
    <w:lvl w:ilvl="4" w:tplc="04090019">
      <w:start w:val="1"/>
      <w:numFmt w:val="ideographTraditional"/>
      <w:lvlText w:val="%5、"/>
      <w:lvlJc w:val="left"/>
      <w:pPr>
        <w:ind w:left="3060" w:hanging="480"/>
      </w:pPr>
    </w:lvl>
    <w:lvl w:ilvl="5" w:tplc="0409001B">
      <w:start w:val="1"/>
      <w:numFmt w:val="lowerRoman"/>
      <w:lvlText w:val="%6."/>
      <w:lvlJc w:val="right"/>
      <w:pPr>
        <w:ind w:left="3540" w:hanging="480"/>
      </w:pPr>
    </w:lvl>
    <w:lvl w:ilvl="6" w:tplc="0409000F">
      <w:start w:val="1"/>
      <w:numFmt w:val="decimal"/>
      <w:lvlText w:val="%7."/>
      <w:lvlJc w:val="left"/>
      <w:pPr>
        <w:ind w:left="4020" w:hanging="480"/>
      </w:pPr>
    </w:lvl>
    <w:lvl w:ilvl="7" w:tplc="04090019">
      <w:start w:val="1"/>
      <w:numFmt w:val="ideographTraditional"/>
      <w:lvlText w:val="%8、"/>
      <w:lvlJc w:val="left"/>
      <w:pPr>
        <w:ind w:left="4500" w:hanging="480"/>
      </w:pPr>
    </w:lvl>
    <w:lvl w:ilvl="8" w:tplc="0409001B">
      <w:start w:val="1"/>
      <w:numFmt w:val="lowerRoman"/>
      <w:lvlText w:val="%9."/>
      <w:lvlJc w:val="right"/>
      <w:pPr>
        <w:ind w:left="498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B5"/>
    <w:rsid w:val="00075353"/>
    <w:rsid w:val="000D6952"/>
    <w:rsid w:val="000F5B5A"/>
    <w:rsid w:val="001E24B0"/>
    <w:rsid w:val="002144F2"/>
    <w:rsid w:val="002B3E8B"/>
    <w:rsid w:val="00363248"/>
    <w:rsid w:val="005736B7"/>
    <w:rsid w:val="0059763F"/>
    <w:rsid w:val="005C4F8F"/>
    <w:rsid w:val="006D5C13"/>
    <w:rsid w:val="00791E1B"/>
    <w:rsid w:val="007A69B5"/>
    <w:rsid w:val="007B3A24"/>
    <w:rsid w:val="007B7053"/>
    <w:rsid w:val="008E3875"/>
    <w:rsid w:val="00A475BA"/>
    <w:rsid w:val="00A75E9A"/>
    <w:rsid w:val="00B64E9A"/>
    <w:rsid w:val="00BC776A"/>
    <w:rsid w:val="00C852C7"/>
    <w:rsid w:val="00D21934"/>
    <w:rsid w:val="00D24B17"/>
    <w:rsid w:val="00D95A27"/>
    <w:rsid w:val="00EA10FC"/>
    <w:rsid w:val="00F24177"/>
    <w:rsid w:val="00F74E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32EFE-907B-4E5B-AEC0-80D91C2E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9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63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5B5A"/>
    <w:pPr>
      <w:tabs>
        <w:tab w:val="center" w:pos="4153"/>
        <w:tab w:val="right" w:pos="8306"/>
      </w:tabs>
      <w:snapToGrid w:val="0"/>
    </w:pPr>
    <w:rPr>
      <w:sz w:val="20"/>
      <w:szCs w:val="20"/>
    </w:rPr>
  </w:style>
  <w:style w:type="character" w:customStyle="1" w:styleId="a5">
    <w:name w:val="頁首 字元"/>
    <w:basedOn w:val="a0"/>
    <w:link w:val="a4"/>
    <w:uiPriority w:val="99"/>
    <w:rsid w:val="000F5B5A"/>
    <w:rPr>
      <w:rFonts w:ascii="Times New Roman" w:eastAsia="新細明體" w:hAnsi="Times New Roman" w:cs="Times New Roman"/>
      <w:sz w:val="20"/>
      <w:szCs w:val="20"/>
    </w:rPr>
  </w:style>
  <w:style w:type="paragraph" w:styleId="a6">
    <w:name w:val="footer"/>
    <w:basedOn w:val="a"/>
    <w:link w:val="a7"/>
    <w:uiPriority w:val="99"/>
    <w:unhideWhenUsed/>
    <w:rsid w:val="000F5B5A"/>
    <w:pPr>
      <w:tabs>
        <w:tab w:val="center" w:pos="4153"/>
        <w:tab w:val="right" w:pos="8306"/>
      </w:tabs>
      <w:snapToGrid w:val="0"/>
    </w:pPr>
    <w:rPr>
      <w:sz w:val="20"/>
      <w:szCs w:val="20"/>
    </w:rPr>
  </w:style>
  <w:style w:type="character" w:customStyle="1" w:styleId="a7">
    <w:name w:val="頁尾 字元"/>
    <w:basedOn w:val="a0"/>
    <w:link w:val="a6"/>
    <w:uiPriority w:val="99"/>
    <w:rsid w:val="000F5B5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7D78-275D-4DB5-9725-A3A8DC64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2018-01-23T04:10:00Z</dcterms:created>
  <dcterms:modified xsi:type="dcterms:W3CDTF">2019-07-05T01:35:00Z</dcterms:modified>
</cp:coreProperties>
</file>