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92" w:rsidRDefault="00823292" w:rsidP="00823292">
      <w:pPr>
        <w:ind w:leftChars="35" w:left="852" w:hangingChars="274" w:hanging="768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國立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東大學　104學年度　課程綱要</w:t>
      </w:r>
    </w:p>
    <w:p w:rsidR="00823292" w:rsidRDefault="00823292" w:rsidP="00823292">
      <w:pPr>
        <w:ind w:leftChars="35" w:left="852" w:hangingChars="274" w:hanging="768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師範學院　教育學系　教育研究碩士班課程</w:t>
      </w:r>
    </w:p>
    <w:p w:rsidR="00823292" w:rsidRDefault="00823292" w:rsidP="00823292">
      <w:pPr>
        <w:snapToGrid w:val="0"/>
        <w:jc w:val="right"/>
        <w:rPr>
          <w:rFonts w:ascii="標楷體" w:eastAsia="標楷體" w:hAnsi="標楷體"/>
          <w:sz w:val="16"/>
          <w:szCs w:val="20"/>
        </w:rPr>
      </w:pPr>
      <w:r>
        <w:rPr>
          <w:rFonts w:ascii="標楷體" w:eastAsia="標楷體" w:hAnsi="標楷體" w:hint="eastAsia"/>
          <w:sz w:val="16"/>
          <w:szCs w:val="20"/>
        </w:rPr>
        <w:t>103學年度第2學期第2次系課程會議(1040331)</w:t>
      </w:r>
    </w:p>
    <w:p w:rsidR="00823292" w:rsidRDefault="00823292" w:rsidP="00823292">
      <w:pPr>
        <w:snapToGrid w:val="0"/>
        <w:jc w:val="right"/>
        <w:rPr>
          <w:rFonts w:ascii="標楷體" w:eastAsia="標楷體" w:hAnsi="標楷體"/>
          <w:sz w:val="16"/>
          <w:szCs w:val="20"/>
        </w:rPr>
      </w:pPr>
      <w:r>
        <w:rPr>
          <w:rFonts w:ascii="標楷體" w:eastAsia="標楷體" w:hAnsi="標楷體" w:hint="eastAsia"/>
          <w:sz w:val="16"/>
          <w:szCs w:val="20"/>
        </w:rPr>
        <w:t>103學年度第2學期第3次院課程暨院</w:t>
      </w:r>
      <w:proofErr w:type="gramStart"/>
      <w:r>
        <w:rPr>
          <w:rFonts w:ascii="標楷體" w:eastAsia="標楷體" w:hAnsi="標楷體" w:hint="eastAsia"/>
          <w:sz w:val="16"/>
          <w:szCs w:val="20"/>
        </w:rPr>
        <w:t>務</w:t>
      </w:r>
      <w:proofErr w:type="gramEnd"/>
      <w:r>
        <w:rPr>
          <w:rFonts w:ascii="標楷體" w:eastAsia="標楷體" w:hAnsi="標楷體" w:hint="eastAsia"/>
          <w:sz w:val="16"/>
          <w:szCs w:val="20"/>
        </w:rPr>
        <w:t>會議(1040608)</w:t>
      </w:r>
    </w:p>
    <w:p w:rsidR="00823292" w:rsidRDefault="00823292" w:rsidP="00823292">
      <w:pPr>
        <w:snapToGrid w:val="0"/>
        <w:jc w:val="right"/>
        <w:rPr>
          <w:rFonts w:ascii="標楷體" w:eastAsia="標楷體" w:hAnsi="標楷體"/>
          <w:sz w:val="16"/>
          <w:szCs w:val="20"/>
        </w:rPr>
      </w:pPr>
      <w:r>
        <w:rPr>
          <w:rFonts w:ascii="標楷體" w:eastAsia="標楷體" w:hAnsi="標楷體" w:hint="eastAsia"/>
          <w:sz w:val="16"/>
          <w:szCs w:val="20"/>
        </w:rPr>
        <w:t>103學年度第2</w:t>
      </w:r>
      <w:r>
        <w:rPr>
          <w:rFonts w:ascii="標楷體" w:eastAsia="標楷體" w:hAnsi="標楷體" w:hint="eastAsia"/>
          <w:color w:val="000000"/>
          <w:sz w:val="16"/>
          <w:szCs w:val="20"/>
        </w:rPr>
        <w:t>學</w:t>
      </w:r>
      <w:r>
        <w:rPr>
          <w:rFonts w:ascii="標楷體" w:eastAsia="標楷體" w:hAnsi="標楷體" w:hint="eastAsia"/>
          <w:sz w:val="16"/>
          <w:szCs w:val="20"/>
        </w:rPr>
        <w:t>期第2次校課程會議(1040611)</w:t>
      </w:r>
    </w:p>
    <w:p w:rsidR="000F39A7" w:rsidRDefault="000F39A7" w:rsidP="000F39A7">
      <w:pPr>
        <w:snapToGrid w:val="0"/>
        <w:jc w:val="right"/>
        <w:rPr>
          <w:rFonts w:ascii="標楷體" w:eastAsia="標楷體" w:hAnsi="標楷體"/>
          <w:sz w:val="16"/>
          <w:szCs w:val="20"/>
        </w:rPr>
      </w:pPr>
      <w:r w:rsidRPr="003E5D2F">
        <w:rPr>
          <w:rFonts w:ascii="標楷體" w:eastAsia="標楷體" w:hAnsi="標楷體" w:hint="eastAsia"/>
          <w:sz w:val="16"/>
          <w:szCs w:val="20"/>
        </w:rPr>
        <w:t>104學年度第1學期第</w:t>
      </w:r>
      <w:r>
        <w:rPr>
          <w:rFonts w:ascii="標楷體" w:eastAsia="標楷體" w:hAnsi="標楷體" w:hint="eastAsia"/>
          <w:sz w:val="16"/>
          <w:szCs w:val="20"/>
        </w:rPr>
        <w:t>1</w:t>
      </w:r>
      <w:r w:rsidRPr="003E5D2F">
        <w:rPr>
          <w:rFonts w:ascii="標楷體" w:eastAsia="標楷體" w:hAnsi="標楷體" w:hint="eastAsia"/>
          <w:sz w:val="16"/>
          <w:szCs w:val="20"/>
        </w:rPr>
        <w:t>次系課程會議(104</w:t>
      </w:r>
      <w:r>
        <w:rPr>
          <w:rFonts w:ascii="標楷體" w:eastAsia="標楷體" w:hAnsi="標楷體" w:hint="eastAsia"/>
          <w:sz w:val="16"/>
          <w:szCs w:val="20"/>
        </w:rPr>
        <w:t>0916</w:t>
      </w:r>
      <w:r w:rsidRPr="003E5D2F">
        <w:rPr>
          <w:rFonts w:ascii="標楷體" w:eastAsia="標楷體" w:hAnsi="標楷體" w:hint="eastAsia"/>
          <w:sz w:val="16"/>
          <w:szCs w:val="20"/>
        </w:rPr>
        <w:t>)</w:t>
      </w:r>
    </w:p>
    <w:p w:rsidR="00B923C3" w:rsidRDefault="00B923C3" w:rsidP="00B923C3">
      <w:pPr>
        <w:snapToGrid w:val="0"/>
        <w:jc w:val="right"/>
        <w:rPr>
          <w:rFonts w:ascii="標楷體" w:eastAsia="標楷體" w:hAnsi="標楷體" w:hint="eastAsia"/>
          <w:sz w:val="16"/>
          <w:szCs w:val="20"/>
        </w:rPr>
      </w:pPr>
      <w:r>
        <w:rPr>
          <w:rFonts w:ascii="標楷體" w:eastAsia="標楷體" w:hAnsi="標楷體" w:hint="eastAsia"/>
          <w:sz w:val="16"/>
          <w:szCs w:val="20"/>
        </w:rPr>
        <w:t>104學年度第1</w:t>
      </w:r>
      <w:r>
        <w:rPr>
          <w:rFonts w:ascii="標楷體" w:eastAsia="標楷體" w:hAnsi="標楷體" w:hint="eastAsia"/>
          <w:color w:val="000000"/>
          <w:sz w:val="16"/>
          <w:szCs w:val="20"/>
        </w:rPr>
        <w:t>學</w:t>
      </w:r>
      <w:r>
        <w:rPr>
          <w:rFonts w:ascii="標楷體" w:eastAsia="標楷體" w:hAnsi="標楷體" w:hint="eastAsia"/>
          <w:sz w:val="16"/>
          <w:szCs w:val="20"/>
        </w:rPr>
        <w:t>期第1次院課程會議(1041125)</w:t>
      </w:r>
    </w:p>
    <w:p w:rsidR="000F39A7" w:rsidRPr="000F39A7" w:rsidRDefault="000F39A7" w:rsidP="00823292">
      <w:pPr>
        <w:snapToGrid w:val="0"/>
        <w:jc w:val="right"/>
        <w:rPr>
          <w:rFonts w:ascii="標楷體" w:eastAsia="標楷體" w:hAnsi="標楷體"/>
          <w:sz w:val="16"/>
          <w:szCs w:val="20"/>
        </w:rPr>
      </w:pPr>
    </w:p>
    <w:p w:rsidR="00A1450D" w:rsidRDefault="00A1450D" w:rsidP="00A1450D">
      <w:pPr>
        <w:spacing w:afterLines="20" w:after="72" w:line="240" w:lineRule="exact"/>
        <w:ind w:firstLine="480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一、目標</w:t>
      </w:r>
    </w:p>
    <w:p w:rsidR="00A1450D" w:rsidRDefault="00A1450D" w:rsidP="00A1450D">
      <w:pPr>
        <w:spacing w:afterLines="20" w:after="72" w:line="240" w:lineRule="exact"/>
        <w:ind w:left="482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本所成立旨在發展教育專業學術之研究，培養對教育及其相關領域之政策</w:t>
      </w:r>
      <w:proofErr w:type="gramStart"/>
      <w:r>
        <w:rPr>
          <w:rFonts w:ascii="標楷體" w:eastAsia="標楷體" w:hAnsi="標楷體" w:hint="eastAsia"/>
        </w:rPr>
        <w:t>規</w:t>
      </w:r>
      <w:proofErr w:type="gramEnd"/>
      <w:r>
        <w:rPr>
          <w:rFonts w:ascii="標楷體" w:eastAsia="標楷體" w:hAnsi="標楷體" w:hint="eastAsia"/>
        </w:rPr>
        <w:t>畫、行政領導、課程發展、教育理論、教學實施等具有專長學</w:t>
      </w:r>
      <w:proofErr w:type="gramStart"/>
      <w:r>
        <w:rPr>
          <w:rFonts w:ascii="標楷體" w:eastAsia="標楷體" w:hAnsi="標楷體" w:hint="eastAsia"/>
        </w:rPr>
        <w:t>養及知能</w:t>
      </w:r>
      <w:proofErr w:type="gramEnd"/>
      <w:r>
        <w:rPr>
          <w:rFonts w:ascii="標楷體" w:eastAsia="標楷體" w:hAnsi="標楷體" w:hint="eastAsia"/>
        </w:rPr>
        <w:t>的中堅專業人才。</w:t>
      </w:r>
    </w:p>
    <w:p w:rsidR="00A1450D" w:rsidRDefault="00A1450D" w:rsidP="00A1450D">
      <w:pPr>
        <w:spacing w:afterLines="20" w:after="72" w:line="240" w:lineRule="exact"/>
        <w:ind w:firstLine="480"/>
        <w:jc w:val="both"/>
        <w:rPr>
          <w:rFonts w:ascii="標楷體" w:eastAsia="標楷體" w:hAnsi="標楷體" w:hint="eastAsia"/>
          <w:b/>
          <w:bCs/>
        </w:rPr>
      </w:pPr>
      <w:r>
        <w:rPr>
          <w:rFonts w:ascii="標楷體" w:eastAsia="標楷體" w:hAnsi="標楷體" w:hint="eastAsia"/>
          <w:b/>
          <w:bCs/>
        </w:rPr>
        <w:t>二、課程結構</w:t>
      </w:r>
    </w:p>
    <w:tbl>
      <w:tblPr>
        <w:tblStyle w:val="a3"/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479"/>
        <w:gridCol w:w="1843"/>
        <w:gridCol w:w="1275"/>
        <w:gridCol w:w="3969"/>
        <w:gridCol w:w="2636"/>
      </w:tblGrid>
      <w:tr w:rsidR="00A1450D" w:rsidTr="00A1450D">
        <w:tc>
          <w:tcPr>
            <w:tcW w:w="7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0D" w:rsidRDefault="00A1450D" w:rsidP="00A1450D">
            <w:pPr>
              <w:spacing w:before="180" w:afterLines="20" w:after="72" w:line="240" w:lineRule="exac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課  程  類  別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0D" w:rsidRDefault="00A1450D" w:rsidP="00A1450D">
            <w:pPr>
              <w:spacing w:before="180" w:afterLines="20" w:after="72" w:line="240" w:lineRule="exac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學分數合計</w:t>
            </w:r>
          </w:p>
        </w:tc>
      </w:tr>
      <w:tr w:rsidR="00A1450D" w:rsidTr="00A1450D">
        <w:tc>
          <w:tcPr>
            <w:tcW w:w="2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0D" w:rsidRDefault="00A1450D" w:rsidP="00A1450D">
            <w:pPr>
              <w:spacing w:before="180" w:afterLines="20" w:after="72" w:line="240" w:lineRule="exact"/>
              <w:jc w:val="center"/>
              <w:rPr>
                <w:rFonts w:ascii="標楷體" w:eastAsia="標楷體" w:hAnsi="標楷體"/>
                <w:bCs/>
                <w:sz w:val="24"/>
              </w:rPr>
            </w:pPr>
            <w:r>
              <w:rPr>
                <w:rFonts w:eastAsia="標楷體" w:hint="eastAsia"/>
              </w:rPr>
              <w:t>共同課程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0D" w:rsidRDefault="00A1450D" w:rsidP="00A1450D">
            <w:pPr>
              <w:spacing w:before="180" w:afterLines="20" w:after="72" w:line="240" w:lineRule="exact"/>
              <w:jc w:val="center"/>
              <w:rPr>
                <w:rFonts w:ascii="標楷體" w:eastAsia="標楷體" w:hAnsi="標楷體"/>
                <w:bCs/>
                <w:sz w:val="24"/>
              </w:rPr>
            </w:pPr>
            <w:r>
              <w:rPr>
                <w:rFonts w:eastAsia="標楷體" w:hint="eastAsia"/>
              </w:rPr>
              <w:t>共同</w:t>
            </w:r>
            <w:r>
              <w:rPr>
                <w:rFonts w:ascii="標楷體" w:eastAsia="標楷體" w:hAnsi="標楷體" w:hint="eastAsia"/>
                <w:bCs/>
              </w:rPr>
              <w:t>必修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0D" w:rsidRDefault="00A1450D" w:rsidP="00A1450D">
            <w:pPr>
              <w:spacing w:before="180" w:afterLines="20" w:after="72" w:line="240" w:lineRule="exact"/>
              <w:jc w:val="center"/>
              <w:rPr>
                <w:rFonts w:ascii="標楷體" w:eastAsia="標楷體" w:hAnsi="標楷體"/>
                <w:bCs/>
                <w:sz w:val="24"/>
              </w:rPr>
            </w:pPr>
            <w:r>
              <w:rPr>
                <w:rFonts w:ascii="標楷體" w:eastAsia="標楷體" w:hAnsi="標楷體" w:hint="eastAsia"/>
                <w:bCs/>
              </w:rPr>
              <w:t>7學分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0D" w:rsidRDefault="00A1450D" w:rsidP="00A1450D">
            <w:pPr>
              <w:spacing w:before="180" w:afterLines="20" w:after="72" w:line="240" w:lineRule="exact"/>
              <w:jc w:val="center"/>
              <w:rPr>
                <w:rFonts w:ascii="標楷體" w:eastAsia="標楷體" w:hAnsi="標楷體"/>
                <w:bCs/>
                <w:sz w:val="24"/>
              </w:rPr>
            </w:pPr>
            <w:r>
              <w:rPr>
                <w:rFonts w:ascii="標楷體" w:eastAsia="標楷體" w:hAnsi="標楷體" w:hint="eastAsia"/>
                <w:bCs/>
              </w:rPr>
              <w:t>至少12學分</w:t>
            </w:r>
          </w:p>
        </w:tc>
      </w:tr>
      <w:tr w:rsidR="00A1450D" w:rsidTr="00A1450D">
        <w:tc>
          <w:tcPr>
            <w:tcW w:w="9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0D" w:rsidRDefault="00A1450D" w:rsidP="00A1450D">
            <w:pPr>
              <w:widowControl/>
              <w:spacing w:before="180"/>
              <w:rPr>
                <w:rFonts w:ascii="標楷體" w:eastAsia="標楷體" w:hAnsi="標楷體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0D" w:rsidRDefault="00A1450D" w:rsidP="00A1450D">
            <w:pPr>
              <w:spacing w:before="180" w:afterLines="20" w:after="72" w:line="240" w:lineRule="exact"/>
              <w:jc w:val="center"/>
              <w:rPr>
                <w:rFonts w:ascii="標楷體" w:eastAsia="標楷體" w:hAnsi="標楷體"/>
                <w:bCs/>
                <w:sz w:val="24"/>
              </w:rPr>
            </w:pPr>
            <w:r>
              <w:rPr>
                <w:rFonts w:eastAsia="標楷體" w:hint="eastAsia"/>
              </w:rPr>
              <w:t>共同</w:t>
            </w:r>
            <w:r>
              <w:rPr>
                <w:rFonts w:ascii="標楷體" w:eastAsia="標楷體" w:hAnsi="標楷體" w:hint="eastAsia"/>
                <w:bCs/>
              </w:rPr>
              <w:t>選修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0D" w:rsidRDefault="00A1450D" w:rsidP="00A1450D">
            <w:pPr>
              <w:spacing w:before="180" w:afterLines="20" w:after="72" w:line="240" w:lineRule="exact"/>
              <w:jc w:val="center"/>
              <w:rPr>
                <w:rFonts w:ascii="標楷體" w:eastAsia="標楷體" w:hAnsi="標楷體"/>
                <w:bCs/>
                <w:sz w:val="24"/>
              </w:rPr>
            </w:pPr>
            <w:r>
              <w:rPr>
                <w:rFonts w:ascii="標楷體" w:eastAsia="標楷體" w:hAnsi="標楷體" w:hint="eastAsia"/>
                <w:bCs/>
              </w:rPr>
              <w:t>至少5學分</w:t>
            </w: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0D" w:rsidRDefault="00A1450D" w:rsidP="00A1450D">
            <w:pPr>
              <w:widowControl/>
              <w:spacing w:before="180"/>
              <w:rPr>
                <w:rFonts w:ascii="標楷體" w:eastAsia="標楷體" w:hAnsi="標楷體"/>
                <w:bCs/>
                <w:sz w:val="24"/>
              </w:rPr>
            </w:pPr>
          </w:p>
        </w:tc>
      </w:tr>
      <w:tr w:rsidR="00A1450D" w:rsidTr="00A1450D">
        <w:trPr>
          <w:trHeight w:val="567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0D" w:rsidRDefault="00A1450D" w:rsidP="00A1450D">
            <w:pPr>
              <w:spacing w:before="180" w:afterLines="20" w:after="72" w:line="240" w:lineRule="exact"/>
              <w:jc w:val="center"/>
              <w:rPr>
                <w:rFonts w:ascii="標楷體" w:eastAsia="標楷體" w:hAnsi="標楷體"/>
                <w:bCs/>
                <w:sz w:val="24"/>
              </w:rPr>
            </w:pPr>
            <w:r>
              <w:rPr>
                <w:rFonts w:eastAsia="標楷體" w:hint="eastAsia"/>
              </w:rPr>
              <w:t>教育專長選修課程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0D" w:rsidRDefault="00A1450D" w:rsidP="00A1450D">
            <w:pPr>
              <w:spacing w:before="18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</w:rPr>
              <w:t>教育學理論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0D" w:rsidRDefault="00A1450D" w:rsidP="00A1450D">
            <w:pPr>
              <w:spacing w:before="180" w:afterLines="20" w:after="72" w:line="240" w:lineRule="exact"/>
              <w:jc w:val="center"/>
              <w:rPr>
                <w:rFonts w:ascii="標楷體" w:eastAsia="標楷體" w:hAnsi="標楷體"/>
                <w:bCs/>
                <w:sz w:val="24"/>
              </w:rPr>
            </w:pPr>
            <w:r>
              <w:rPr>
                <w:rFonts w:ascii="標楷體" w:eastAsia="標楷體" w:hAnsi="標楷體" w:hint="eastAsia"/>
                <w:bCs/>
              </w:rPr>
              <w:t>選修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0D" w:rsidRDefault="00A1450D" w:rsidP="00A1450D">
            <w:pPr>
              <w:spacing w:before="180" w:afterLines="20" w:after="72" w:line="240" w:lineRule="exact"/>
              <w:jc w:val="center"/>
              <w:rPr>
                <w:rFonts w:ascii="標楷體" w:eastAsia="標楷體" w:hAnsi="標楷體"/>
                <w:bCs/>
                <w:sz w:val="24"/>
              </w:rPr>
            </w:pPr>
            <w:r>
              <w:rPr>
                <w:rFonts w:eastAsia="標楷體" w:hint="eastAsia"/>
              </w:rPr>
              <w:t>至少一門課（非師院生至少二門課）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0D" w:rsidRDefault="00A1450D" w:rsidP="00A1450D">
            <w:pPr>
              <w:spacing w:before="180" w:afterLines="20" w:after="72" w:line="240" w:lineRule="exact"/>
              <w:jc w:val="center"/>
              <w:rPr>
                <w:rFonts w:ascii="標楷體" w:eastAsia="標楷體" w:hAnsi="標楷體"/>
                <w:bCs/>
                <w:sz w:val="24"/>
              </w:rPr>
            </w:pPr>
            <w:r>
              <w:rPr>
                <w:rFonts w:ascii="標楷體" w:eastAsia="標楷體" w:hAnsi="標楷體" w:hint="eastAsia"/>
                <w:bCs/>
              </w:rPr>
              <w:t>至少2學分</w:t>
            </w:r>
          </w:p>
        </w:tc>
      </w:tr>
      <w:tr w:rsidR="00A1450D" w:rsidTr="00A1450D">
        <w:trPr>
          <w:trHeight w:val="567"/>
        </w:trPr>
        <w:tc>
          <w:tcPr>
            <w:tcW w:w="7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0D" w:rsidRDefault="00A1450D" w:rsidP="00A1450D">
            <w:pPr>
              <w:widowControl/>
              <w:spacing w:before="180"/>
              <w:rPr>
                <w:rFonts w:ascii="標楷體" w:eastAsia="標楷體" w:hAnsi="標楷體"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0D" w:rsidRDefault="00A1450D" w:rsidP="00A1450D">
            <w:pPr>
              <w:snapToGrid w:val="0"/>
              <w:spacing w:before="180" w:line="240" w:lineRule="exact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</w:rPr>
              <w:t>課程與教學</w:t>
            </w: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0D" w:rsidRDefault="00A1450D" w:rsidP="00A1450D">
            <w:pPr>
              <w:widowControl/>
              <w:spacing w:before="180"/>
              <w:rPr>
                <w:rFonts w:ascii="標楷體" w:eastAsia="標楷體" w:hAnsi="標楷體"/>
                <w:bCs/>
                <w:sz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0D" w:rsidRDefault="00A1450D" w:rsidP="00A1450D">
            <w:pPr>
              <w:widowControl/>
              <w:spacing w:before="180"/>
              <w:rPr>
                <w:rFonts w:ascii="標楷體" w:eastAsia="標楷體" w:hAnsi="標楷體"/>
                <w:bCs/>
                <w:sz w:val="24"/>
              </w:rPr>
            </w:pP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0D" w:rsidRDefault="00A1450D" w:rsidP="00A1450D">
            <w:pPr>
              <w:widowControl/>
              <w:spacing w:before="180"/>
              <w:rPr>
                <w:rFonts w:ascii="標楷體" w:eastAsia="標楷體" w:hAnsi="標楷體"/>
                <w:bCs/>
                <w:sz w:val="24"/>
              </w:rPr>
            </w:pPr>
          </w:p>
        </w:tc>
      </w:tr>
      <w:tr w:rsidR="00A1450D" w:rsidTr="00A1450D">
        <w:trPr>
          <w:trHeight w:val="567"/>
        </w:trPr>
        <w:tc>
          <w:tcPr>
            <w:tcW w:w="7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0D" w:rsidRDefault="00A1450D" w:rsidP="00A1450D">
            <w:pPr>
              <w:widowControl/>
              <w:spacing w:before="180"/>
              <w:rPr>
                <w:rFonts w:ascii="標楷體" w:eastAsia="標楷體" w:hAnsi="標楷體"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0D" w:rsidRDefault="00A1450D" w:rsidP="00A1450D">
            <w:pPr>
              <w:snapToGrid w:val="0"/>
              <w:spacing w:before="180" w:line="240" w:lineRule="exact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</w:rPr>
              <w:t>心理與輔導</w:t>
            </w: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0D" w:rsidRDefault="00A1450D" w:rsidP="00A1450D">
            <w:pPr>
              <w:widowControl/>
              <w:spacing w:before="180"/>
              <w:rPr>
                <w:rFonts w:ascii="標楷體" w:eastAsia="標楷體" w:hAnsi="標楷體"/>
                <w:bCs/>
                <w:sz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0D" w:rsidRDefault="00A1450D" w:rsidP="00A1450D">
            <w:pPr>
              <w:widowControl/>
              <w:spacing w:before="180"/>
              <w:rPr>
                <w:rFonts w:ascii="標楷體" w:eastAsia="標楷體" w:hAnsi="標楷體"/>
                <w:bCs/>
                <w:sz w:val="24"/>
              </w:rPr>
            </w:pP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0D" w:rsidRDefault="00A1450D" w:rsidP="00A1450D">
            <w:pPr>
              <w:widowControl/>
              <w:spacing w:before="180"/>
              <w:rPr>
                <w:rFonts w:ascii="標楷體" w:eastAsia="標楷體" w:hAnsi="標楷體"/>
                <w:bCs/>
                <w:sz w:val="24"/>
              </w:rPr>
            </w:pPr>
          </w:p>
        </w:tc>
      </w:tr>
      <w:tr w:rsidR="00A1450D" w:rsidTr="00A1450D">
        <w:trPr>
          <w:trHeight w:val="567"/>
        </w:trPr>
        <w:tc>
          <w:tcPr>
            <w:tcW w:w="7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0D" w:rsidRDefault="00A1450D" w:rsidP="00A1450D">
            <w:pPr>
              <w:widowControl/>
              <w:spacing w:before="180"/>
              <w:rPr>
                <w:rFonts w:ascii="標楷體" w:eastAsia="標楷體" w:hAnsi="標楷體"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0D" w:rsidRDefault="00A1450D" w:rsidP="00A1450D">
            <w:pPr>
              <w:snapToGrid w:val="0"/>
              <w:spacing w:before="180" w:line="240" w:lineRule="exact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</w:rPr>
              <w:t>教育行政與政策</w:t>
            </w: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0D" w:rsidRDefault="00A1450D" w:rsidP="00A1450D">
            <w:pPr>
              <w:widowControl/>
              <w:spacing w:before="180"/>
              <w:rPr>
                <w:rFonts w:ascii="標楷體" w:eastAsia="標楷體" w:hAnsi="標楷體"/>
                <w:bCs/>
                <w:sz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0D" w:rsidRDefault="00A1450D" w:rsidP="00A1450D">
            <w:pPr>
              <w:widowControl/>
              <w:spacing w:before="180"/>
              <w:rPr>
                <w:rFonts w:ascii="標楷體" w:eastAsia="標楷體" w:hAnsi="標楷體"/>
                <w:bCs/>
                <w:sz w:val="24"/>
              </w:rPr>
            </w:pP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0D" w:rsidRDefault="00A1450D" w:rsidP="00A1450D">
            <w:pPr>
              <w:widowControl/>
              <w:spacing w:before="180"/>
              <w:rPr>
                <w:rFonts w:ascii="標楷體" w:eastAsia="標楷體" w:hAnsi="標楷體"/>
                <w:bCs/>
                <w:sz w:val="24"/>
              </w:rPr>
            </w:pPr>
          </w:p>
        </w:tc>
      </w:tr>
      <w:tr w:rsidR="00A1450D" w:rsidTr="00A1450D"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0D" w:rsidRDefault="00A1450D" w:rsidP="00A1450D">
            <w:pPr>
              <w:spacing w:before="180" w:afterLines="20" w:after="72" w:line="240" w:lineRule="exact"/>
              <w:jc w:val="center"/>
              <w:rPr>
                <w:rFonts w:ascii="標楷體" w:eastAsia="標楷體" w:hAnsi="標楷體"/>
                <w:bCs/>
                <w:sz w:val="24"/>
              </w:rPr>
            </w:pPr>
            <w:r>
              <w:rPr>
                <w:rFonts w:ascii="標楷體" w:eastAsia="標楷體" w:hAnsi="標楷體" w:hint="eastAsia"/>
                <w:bCs/>
              </w:rPr>
              <w:t>自由選修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0D" w:rsidRDefault="00A1450D" w:rsidP="00A1450D">
            <w:pPr>
              <w:spacing w:before="180" w:afterLines="20" w:after="72" w:line="240" w:lineRule="exact"/>
              <w:jc w:val="both"/>
              <w:rPr>
                <w:rFonts w:ascii="標楷體" w:eastAsia="標楷體" w:hAnsi="標楷體"/>
                <w:bCs/>
                <w:sz w:val="24"/>
              </w:rPr>
            </w:pPr>
            <w:r>
              <w:rPr>
                <w:rFonts w:eastAsia="標楷體" w:hint="eastAsia"/>
              </w:rPr>
              <w:t>除須修習上述規定課程學分外，得依個人興趣及需要，選修本所開授之各類課程至少一種，以達本所規定之最低畢業學分數（</w:t>
            </w:r>
            <w:r>
              <w:rPr>
                <w:rFonts w:eastAsia="標楷體"/>
              </w:rPr>
              <w:t>30</w:t>
            </w:r>
            <w:r>
              <w:rPr>
                <w:rFonts w:eastAsia="標楷體" w:hint="eastAsia"/>
              </w:rPr>
              <w:t>學分）。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0D" w:rsidRDefault="00A1450D" w:rsidP="00A1450D">
            <w:pPr>
              <w:spacing w:before="180" w:afterLines="20" w:after="72" w:line="240" w:lineRule="exact"/>
              <w:jc w:val="center"/>
              <w:rPr>
                <w:rFonts w:ascii="標楷體" w:eastAsia="標楷體" w:hAnsi="標楷體"/>
                <w:bCs/>
                <w:sz w:val="24"/>
              </w:rPr>
            </w:pPr>
          </w:p>
        </w:tc>
      </w:tr>
      <w:tr w:rsidR="00A1450D" w:rsidTr="00A1450D">
        <w:tc>
          <w:tcPr>
            <w:tcW w:w="7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0D" w:rsidRDefault="00A1450D" w:rsidP="00A1450D">
            <w:pPr>
              <w:spacing w:before="180" w:afterLines="20" w:after="72" w:line="240" w:lineRule="exact"/>
              <w:jc w:val="center"/>
              <w:rPr>
                <w:rFonts w:ascii="標楷體" w:eastAsia="標楷體" w:hAnsi="標楷體"/>
                <w:bCs/>
                <w:sz w:val="24"/>
              </w:rPr>
            </w:pPr>
            <w:r>
              <w:rPr>
                <w:rFonts w:ascii="標楷體" w:eastAsia="標楷體" w:hAnsi="標楷體" w:hint="eastAsia"/>
                <w:bCs/>
              </w:rPr>
              <w:t>總計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0D" w:rsidRDefault="00A1450D" w:rsidP="00A1450D">
            <w:pPr>
              <w:spacing w:before="180" w:afterLines="20" w:after="72" w:line="240" w:lineRule="exact"/>
              <w:jc w:val="center"/>
              <w:rPr>
                <w:rFonts w:ascii="標楷體" w:eastAsia="標楷體" w:hAnsi="標楷體"/>
                <w:bCs/>
                <w:sz w:val="24"/>
              </w:rPr>
            </w:pPr>
            <w:r>
              <w:rPr>
                <w:rFonts w:ascii="標楷體" w:eastAsia="標楷體" w:hAnsi="標楷體" w:hint="eastAsia"/>
                <w:bCs/>
              </w:rPr>
              <w:t>30學分</w:t>
            </w:r>
          </w:p>
        </w:tc>
      </w:tr>
    </w:tbl>
    <w:p w:rsidR="00A1450D" w:rsidRDefault="00A1450D" w:rsidP="00A1450D">
      <w:pPr>
        <w:snapToGrid w:val="0"/>
        <w:ind w:firstLine="480"/>
        <w:jc w:val="both"/>
        <w:rPr>
          <w:rFonts w:ascii="標楷體" w:eastAsia="標楷體" w:hAnsi="標楷體" w:hint="eastAsia"/>
          <w:b/>
          <w:bCs/>
        </w:rPr>
      </w:pPr>
      <w:r>
        <w:rPr>
          <w:rFonts w:ascii="標楷體" w:eastAsia="標楷體" w:hAnsi="標楷體" w:hint="eastAsia"/>
          <w:b/>
          <w:bCs/>
        </w:rPr>
        <w:t>三、選課須知</w:t>
      </w:r>
    </w:p>
    <w:p w:rsidR="00A1450D" w:rsidRDefault="00A1450D" w:rsidP="00A1450D">
      <w:pPr>
        <w:numPr>
          <w:ilvl w:val="0"/>
          <w:numId w:val="2"/>
        </w:numPr>
        <w:tabs>
          <w:tab w:val="clear" w:pos="180"/>
          <w:tab w:val="num" w:pos="890"/>
        </w:tabs>
        <w:snapToGrid w:val="0"/>
        <w:ind w:left="660" w:firstLine="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方法群至少5學分。</w:t>
      </w:r>
    </w:p>
    <w:p w:rsidR="00A1450D" w:rsidRDefault="00A1450D" w:rsidP="00A1450D">
      <w:pPr>
        <w:numPr>
          <w:ilvl w:val="0"/>
          <w:numId w:val="2"/>
        </w:numPr>
        <w:tabs>
          <w:tab w:val="clear" w:pos="180"/>
          <w:tab w:val="num" w:pos="890"/>
        </w:tabs>
        <w:snapToGrid w:val="0"/>
        <w:ind w:left="956" w:hanging="296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教育專長選修課程：師範院校畢業生至少修習1門課，非師範院校畢業生至少修習2門課。</w:t>
      </w:r>
    </w:p>
    <w:p w:rsidR="00A1450D" w:rsidRDefault="00A1450D" w:rsidP="00A1450D">
      <w:pPr>
        <w:numPr>
          <w:ilvl w:val="0"/>
          <w:numId w:val="2"/>
        </w:numPr>
        <w:tabs>
          <w:tab w:val="clear" w:pos="180"/>
          <w:tab w:val="num" w:pos="890"/>
        </w:tabs>
        <w:snapToGrid w:val="0"/>
        <w:ind w:left="660" w:firstLine="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在職生選課每學期上限為11學分，全職生選課每學期上限為14學分。</w:t>
      </w:r>
    </w:p>
    <w:p w:rsidR="00A1450D" w:rsidRDefault="00A1450D" w:rsidP="00A1450D">
      <w:pPr>
        <w:numPr>
          <w:ilvl w:val="0"/>
          <w:numId w:val="2"/>
        </w:numPr>
        <w:tabs>
          <w:tab w:val="clear" w:pos="180"/>
          <w:tab w:val="num" w:pos="890"/>
        </w:tabs>
        <w:snapToGrid w:val="0"/>
        <w:ind w:left="660" w:firstLine="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研究生經本系同意且符合下列條件，</w:t>
      </w:r>
      <w:proofErr w:type="gramStart"/>
      <w:r>
        <w:rPr>
          <w:rFonts w:ascii="標楷體" w:eastAsia="標楷體" w:hAnsi="標楷體" w:hint="eastAsia"/>
        </w:rPr>
        <w:t>得跨校</w:t>
      </w:r>
      <w:proofErr w:type="gramEnd"/>
      <w:r>
        <w:rPr>
          <w:rFonts w:ascii="標楷體" w:eastAsia="標楷體" w:hAnsi="標楷體" w:hint="eastAsia"/>
        </w:rPr>
        <w:t>、跨進修</w:t>
      </w:r>
      <w:proofErr w:type="gramStart"/>
      <w:r>
        <w:rPr>
          <w:rFonts w:ascii="標楷體" w:eastAsia="標楷體" w:hAnsi="標楷體" w:hint="eastAsia"/>
        </w:rPr>
        <w:t>推廣部或跨</w:t>
      </w:r>
      <w:proofErr w:type="gramEnd"/>
      <w:r>
        <w:rPr>
          <w:rFonts w:ascii="標楷體" w:eastAsia="標楷體" w:hAnsi="標楷體" w:hint="eastAsia"/>
        </w:rPr>
        <w:t>碩士班選修原班課程架構外其他相關系所碩士班開設之課程。</w:t>
      </w:r>
    </w:p>
    <w:p w:rsidR="00A1450D" w:rsidRDefault="00A1450D" w:rsidP="00A1450D">
      <w:pPr>
        <w:numPr>
          <w:ilvl w:val="0"/>
          <w:numId w:val="3"/>
        </w:numPr>
        <w:snapToGrid w:val="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選修科目不可為原班課程架構的必修學分。</w:t>
      </w:r>
    </w:p>
    <w:p w:rsidR="00A1450D" w:rsidRDefault="00A1450D" w:rsidP="00A1450D">
      <w:pPr>
        <w:numPr>
          <w:ilvl w:val="0"/>
          <w:numId w:val="3"/>
        </w:numPr>
        <w:snapToGrid w:val="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總選修課程不得超過二門或六學分，且應受每學期限修學分之限制。(本系碩士班所開授之相同課程名稱及學分之選修課程，不列入跨校系選修六學分之限制。)</w:t>
      </w:r>
    </w:p>
    <w:p w:rsidR="00A1450D" w:rsidRDefault="00A1450D" w:rsidP="00A1450D">
      <w:pPr>
        <w:numPr>
          <w:ilvl w:val="0"/>
          <w:numId w:val="3"/>
        </w:numPr>
        <w:snapToGrid w:val="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跨校及跨進修部課程，每學期以選修一門課程為限，總學分不得超過6學分；跨日間碩士班選修課程，每學期以選修二門課程為限，若於同一學期跨選修進修部課程者，則僅能再跨選修日間碩士班課程一門。</w:t>
      </w:r>
    </w:p>
    <w:p w:rsidR="00A1450D" w:rsidRDefault="00A1450D" w:rsidP="00A1450D">
      <w:pPr>
        <w:numPr>
          <w:ilvl w:val="0"/>
          <w:numId w:val="3"/>
        </w:numPr>
        <w:snapToGrid w:val="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選修進修部相關碩士班課程，</w:t>
      </w:r>
      <w:proofErr w:type="gramStart"/>
      <w:r>
        <w:rPr>
          <w:rFonts w:ascii="標楷體" w:eastAsia="標楷體" w:hAnsi="標楷體" w:hint="eastAsia"/>
        </w:rPr>
        <w:t>須屬原</w:t>
      </w:r>
      <w:proofErr w:type="gramEnd"/>
      <w:r>
        <w:rPr>
          <w:rFonts w:ascii="標楷體" w:eastAsia="標楷體" w:hAnsi="標楷體" w:hint="eastAsia"/>
        </w:rPr>
        <w:t>班課程架構的選修課程。</w:t>
      </w:r>
    </w:p>
    <w:p w:rsidR="00A1450D" w:rsidRDefault="00A1450D" w:rsidP="00A1450D">
      <w:pPr>
        <w:snapToGrid w:val="0"/>
        <w:ind w:left="66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5.學生</w:t>
      </w:r>
      <w:proofErr w:type="gramStart"/>
      <w:r>
        <w:rPr>
          <w:rFonts w:ascii="標楷體" w:eastAsia="標楷體" w:hAnsi="標楷體" w:hint="eastAsia"/>
        </w:rPr>
        <w:t>得修習大</w:t>
      </w:r>
      <w:proofErr w:type="gramEnd"/>
      <w:r>
        <w:rPr>
          <w:rFonts w:ascii="標楷體" w:eastAsia="標楷體" w:hAnsi="標楷體" w:hint="eastAsia"/>
        </w:rPr>
        <w:t>學部高年級（三、四年級）及本校其他研究所課程做為研究所選修課程之學分，但不得超過6學分。所選課程須符合下列條件：屬研討性質課程、研究所課程結構範圍、助理教授以上教師所開之課程。</w:t>
      </w:r>
    </w:p>
    <w:p w:rsidR="00A1450D" w:rsidRDefault="00A1450D" w:rsidP="00A1450D">
      <w:pPr>
        <w:snapToGrid w:val="0"/>
        <w:ind w:left="709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6.畢業總學分至少30學分，在職生修業年限2-5年，全職生修業年限為2-4年。</w:t>
      </w:r>
    </w:p>
    <w:p w:rsidR="00A1450D" w:rsidRDefault="00A1450D" w:rsidP="00A1450D">
      <w:pPr>
        <w:snapToGrid w:val="0"/>
        <w:ind w:left="709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7. 學術研究倫理教育課程為必修0學分，學生須於臺灣學術倫理教育推廣資源中心之網路教學平台自行觀看，並</w:t>
      </w:r>
      <w:proofErr w:type="gramStart"/>
      <w:r>
        <w:rPr>
          <w:rFonts w:ascii="標楷體" w:eastAsia="標楷體" w:hAnsi="標楷體" w:hint="eastAsia"/>
        </w:rPr>
        <w:t>通過線上課程</w:t>
      </w:r>
      <w:proofErr w:type="gramEnd"/>
      <w:r>
        <w:rPr>
          <w:rFonts w:ascii="標楷體" w:eastAsia="標楷體" w:hAnsi="標楷體" w:hint="eastAsia"/>
        </w:rPr>
        <w:t>測驗合格；未通過者，須於辦理離校手續前補修完成。</w:t>
      </w:r>
    </w:p>
    <w:p w:rsidR="00A1450D" w:rsidRPr="00A1450D" w:rsidRDefault="00A1450D" w:rsidP="00823292">
      <w:pPr>
        <w:snapToGrid w:val="0"/>
        <w:ind w:left="480" w:firstLineChars="68" w:firstLine="150"/>
        <w:jc w:val="both"/>
        <w:rPr>
          <w:rFonts w:ascii="標楷體" w:eastAsia="標楷體" w:hAnsi="標楷體" w:hint="eastAsia"/>
          <w:sz w:val="22"/>
        </w:rPr>
      </w:pPr>
    </w:p>
    <w:p w:rsidR="00A1450D" w:rsidRDefault="00A1450D" w:rsidP="00A1450D">
      <w:pPr>
        <w:snapToGrid w:val="0"/>
        <w:ind w:firstLine="480"/>
        <w:jc w:val="both"/>
        <w:rPr>
          <w:rFonts w:ascii="標楷體" w:eastAsia="標楷體" w:hAnsi="標楷體"/>
          <w:b/>
          <w:bCs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</w:rPr>
        <w:lastRenderedPageBreak/>
        <w:t>四、教育研究碩士班課程架構</w:t>
      </w:r>
    </w:p>
    <w:tbl>
      <w:tblPr>
        <w:tblW w:w="9975" w:type="dxa"/>
        <w:jc w:val="center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5"/>
        <w:gridCol w:w="408"/>
        <w:gridCol w:w="318"/>
        <w:gridCol w:w="2401"/>
        <w:gridCol w:w="1301"/>
        <w:gridCol w:w="336"/>
        <w:gridCol w:w="321"/>
        <w:gridCol w:w="322"/>
        <w:gridCol w:w="560"/>
        <w:gridCol w:w="2794"/>
        <w:gridCol w:w="929"/>
      </w:tblGrid>
      <w:tr w:rsidR="00823292" w:rsidTr="00823292">
        <w:trPr>
          <w:cantSplit/>
          <w:trHeight w:val="20"/>
          <w:jc w:val="center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類</w:t>
            </w:r>
          </w:p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別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學分數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科目中文名稱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科目代碼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必選修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學分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</w:p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開課學期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科目英文名稱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備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註</w:t>
            </w:r>
            <w:proofErr w:type="gramEnd"/>
          </w:p>
        </w:tc>
      </w:tr>
      <w:tr w:rsidR="00823292" w:rsidTr="00823292">
        <w:trPr>
          <w:cantSplit/>
          <w:trHeight w:val="20"/>
          <w:jc w:val="center"/>
        </w:trPr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共同課程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23292" w:rsidRDefault="0082329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共同必修</w:t>
            </w: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七學分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學位論文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EED21D00B000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必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０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Master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 Thesis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不計學分</w:t>
            </w:r>
          </w:p>
        </w:tc>
      </w:tr>
      <w:tr w:rsidR="00823292" w:rsidTr="00A1450D">
        <w:trPr>
          <w:cantSplit/>
          <w:trHeight w:val="20"/>
          <w:jc w:val="center"/>
        </w:trPr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教育研究法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EED21D00B001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必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Educational Research Methods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23292" w:rsidTr="00A1450D">
        <w:trPr>
          <w:cantSplit/>
          <w:trHeight w:val="333"/>
          <w:jc w:val="center"/>
        </w:trPr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教育研究討論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EED21D00B002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必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Seminar of Educational Research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23292" w:rsidTr="00A1450D">
        <w:trPr>
          <w:cantSplit/>
          <w:trHeight w:val="20"/>
          <w:jc w:val="center"/>
        </w:trPr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教育專題(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)：教育行政與政策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EED23D00B001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必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Seminar of Educational (1)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五選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</w:tr>
      <w:tr w:rsidR="00823292" w:rsidTr="00A1450D">
        <w:trPr>
          <w:cantSplit/>
          <w:trHeight w:val="20"/>
          <w:jc w:val="center"/>
        </w:trPr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教育專題(二)：教育社會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92" w:rsidRDefault="008232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EED23D00B002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必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Seminar of Educational (2)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23292" w:rsidTr="00A1450D">
        <w:trPr>
          <w:cantSplit/>
          <w:trHeight w:val="20"/>
          <w:jc w:val="center"/>
        </w:trPr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教育專題(三)：行動研究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92" w:rsidRDefault="008232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EED23D00B003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必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Seminar of Educational (3)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23292" w:rsidTr="00A1450D">
        <w:trPr>
          <w:cantSplit/>
          <w:trHeight w:val="20"/>
          <w:jc w:val="center"/>
        </w:trPr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教育專題(四)：比較教育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92" w:rsidRDefault="008232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EED23D00B004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必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Seminar of Educational (4)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23292" w:rsidTr="00A1450D">
        <w:trPr>
          <w:cantSplit/>
          <w:trHeight w:val="20"/>
          <w:jc w:val="center"/>
        </w:trPr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教育專題(五)：教育學理論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92" w:rsidRDefault="0082329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EED23D00B005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必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Seminar of Educational (5)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23292" w:rsidTr="00A1450D">
        <w:trPr>
          <w:cantSplit/>
          <w:trHeight w:val="287"/>
          <w:jc w:val="center"/>
        </w:trPr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研究講座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EED21D00B003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必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Academic Seminar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92" w:rsidRDefault="0082329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823292" w:rsidRDefault="0082329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23292" w:rsidTr="00A1450D">
        <w:trPr>
          <w:cantSplit/>
          <w:trHeight w:val="407"/>
          <w:jc w:val="center"/>
        </w:trPr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研究講座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EED21D00B004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必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Academic Seminar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23292" w:rsidTr="00A1450D">
        <w:trPr>
          <w:cantSplit/>
          <w:trHeight w:val="20"/>
          <w:jc w:val="center"/>
        </w:trPr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23292" w:rsidRDefault="0082329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研究方法群</w:t>
            </w: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至少五學分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應用統計學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EED23D00C001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Applied Statistics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23292" w:rsidTr="00A1450D">
        <w:trPr>
          <w:cantSplit/>
          <w:trHeight w:val="20"/>
          <w:jc w:val="center"/>
        </w:trPr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質性研究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EED23D00C002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Qualitative Research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23292" w:rsidTr="00A1450D">
        <w:trPr>
          <w:cantSplit/>
          <w:trHeight w:val="20"/>
          <w:jc w:val="center"/>
        </w:trPr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問卷調查法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EED23D00C003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Questionnaire Survey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23292" w:rsidTr="00A1450D">
        <w:trPr>
          <w:cantSplit/>
          <w:trHeight w:val="20"/>
          <w:jc w:val="center"/>
        </w:trPr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電腦軟體在教育研究上的應用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EED23D00C004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二上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Softwares</w:t>
            </w:r>
            <w:proofErr w:type="spell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Applications in Education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23292" w:rsidTr="00A1450D">
        <w:trPr>
          <w:cantSplit/>
          <w:trHeight w:val="20"/>
          <w:jc w:val="center"/>
        </w:trPr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教育研究方法專題：教育文獻研究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EED23D00C005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Research of Education Data and Reference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23292" w:rsidTr="00A1450D">
        <w:trPr>
          <w:cantSplit/>
          <w:trHeight w:val="20"/>
          <w:jc w:val="center"/>
        </w:trPr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資料分析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EED23D00C006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Data Analysis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23292" w:rsidTr="00A1450D">
        <w:trPr>
          <w:cantSplit/>
          <w:trHeight w:val="20"/>
          <w:jc w:val="center"/>
        </w:trPr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教育量化方法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EED23D00C007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Education and Quantitative Methods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101-2新增</w:t>
            </w:r>
          </w:p>
        </w:tc>
      </w:tr>
      <w:tr w:rsidR="00823292" w:rsidTr="00823292">
        <w:trPr>
          <w:cantSplit/>
          <w:trHeight w:val="299"/>
          <w:jc w:val="center"/>
        </w:trPr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教育理論專長選修課程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教育學理論</w:t>
            </w: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學習障礙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EED22D00H001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Learning Disability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23292" w:rsidTr="00A1450D">
        <w:trPr>
          <w:cantSplit/>
          <w:trHeight w:val="20"/>
          <w:jc w:val="center"/>
        </w:trPr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閱讀歷程專題研究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EED22D00H002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Reading Disability and Reading Process Research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23292" w:rsidTr="00A1450D">
        <w:trPr>
          <w:cantSplit/>
          <w:trHeight w:val="20"/>
          <w:jc w:val="center"/>
        </w:trPr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教育哲學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EED22D00H003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Philosophy of Education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23292" w:rsidTr="00A1450D">
        <w:trPr>
          <w:cantSplit/>
          <w:trHeight w:val="20"/>
          <w:jc w:val="center"/>
        </w:trPr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教育社會學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EED22D00H004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Sociology of Education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23292" w:rsidTr="00A1450D">
        <w:trPr>
          <w:cantSplit/>
          <w:trHeight w:val="20"/>
          <w:jc w:val="center"/>
        </w:trPr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台灣教育史專題研究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EED22D00H005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二上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Seminar in History of Taiwanese Education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23292" w:rsidTr="00A1450D">
        <w:trPr>
          <w:cantSplit/>
          <w:trHeight w:val="20"/>
          <w:jc w:val="center"/>
        </w:trPr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比較教育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EED22D00H006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二上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Comparative Education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23292" w:rsidTr="00A1450D">
        <w:trPr>
          <w:cantSplit/>
          <w:trHeight w:val="20"/>
          <w:jc w:val="center"/>
        </w:trPr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日本教育專題研究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EED22D00H007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Seminar of Japanese Educational Research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23292" w:rsidTr="00A1450D">
        <w:trPr>
          <w:cantSplit/>
          <w:trHeight w:val="20"/>
          <w:jc w:val="center"/>
        </w:trPr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教師職位取得與事業發展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EED22D00H008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ㄧ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Teachers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Position Attainment and Career Development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23292" w:rsidTr="00A1450D">
        <w:trPr>
          <w:cantSplit/>
          <w:trHeight w:val="20"/>
          <w:jc w:val="center"/>
        </w:trPr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心理與輔導類課程</w:t>
            </w: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青少年專題研究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EED22D00I001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Seminar of Adolescence Research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23292" w:rsidTr="00A1450D">
        <w:trPr>
          <w:cantSplit/>
          <w:trHeight w:val="20"/>
          <w:jc w:val="center"/>
        </w:trPr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諮商理論與應用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EED22D00I002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Theory &amp; Application of Counseling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23292" w:rsidTr="00A1450D">
        <w:trPr>
          <w:cantSplit/>
          <w:trHeight w:val="20"/>
          <w:jc w:val="center"/>
        </w:trPr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生命教育專題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EED22D00I003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Seminar of Life Education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23292" w:rsidTr="00A1450D">
        <w:trPr>
          <w:cantSplit/>
          <w:trHeight w:val="20"/>
          <w:jc w:val="center"/>
        </w:trPr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諮商與輔導專題研究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EED22D00I004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Seminar of Counseling Theories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23292" w:rsidTr="00A1450D">
        <w:trPr>
          <w:cantSplit/>
          <w:trHeight w:val="341"/>
          <w:jc w:val="center"/>
        </w:trPr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課程與教學類課程</w:t>
            </w: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統整課程設計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EED22D00J001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Designing Integrated Curriculum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23292" w:rsidTr="00A1450D">
        <w:trPr>
          <w:cantSplit/>
          <w:trHeight w:val="366"/>
          <w:jc w:val="center"/>
        </w:trPr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終身學習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EED22D00J002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Lifelong Learning Idea and Enforcement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23292" w:rsidTr="00A1450D">
        <w:trPr>
          <w:cantSplit/>
          <w:trHeight w:val="674"/>
          <w:jc w:val="center"/>
        </w:trPr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教育課程研究：課程發展與設計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EED22D00J003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二上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Curriculum Development and design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23292" w:rsidTr="00A1450D">
        <w:trPr>
          <w:cantSplit/>
          <w:trHeight w:val="20"/>
          <w:jc w:val="center"/>
        </w:trPr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多元文化課程與教學研究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EED22D00J004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二上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Seminar of Multi cultures Curriculum and Teaching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23292" w:rsidTr="00A1450D">
        <w:trPr>
          <w:cantSplit/>
          <w:trHeight w:val="20"/>
          <w:jc w:val="center"/>
        </w:trPr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課程比較研究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EED22D00J005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二上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Seminar of Comparison of a Curriculum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23292" w:rsidTr="00A1450D">
        <w:trPr>
          <w:cantSplit/>
          <w:trHeight w:val="20"/>
          <w:jc w:val="center"/>
        </w:trPr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班級經營專題研究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EED22D00J006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Seminar of Classroom Management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23292" w:rsidTr="00A1450D">
        <w:trPr>
          <w:cantSplit/>
          <w:trHeight w:val="20"/>
          <w:jc w:val="center"/>
        </w:trPr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教育行政學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EED22D00J007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School Administration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23292" w:rsidTr="00A1450D">
        <w:trPr>
          <w:cantSplit/>
          <w:trHeight w:val="20"/>
          <w:jc w:val="center"/>
        </w:trPr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學校組織行為專題研究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EED22D00J008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School Organize Behavior Seminar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23292" w:rsidTr="00A1450D">
        <w:trPr>
          <w:cantSplit/>
          <w:trHeight w:val="20"/>
          <w:jc w:val="center"/>
        </w:trPr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教育行政與政策類課程</w:t>
            </w: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學校行政領導專題研究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EED22D00K001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School Administration and Leadership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23292" w:rsidTr="00A1450D">
        <w:trPr>
          <w:cantSplit/>
          <w:trHeight w:val="20"/>
          <w:jc w:val="center"/>
        </w:trPr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教育管理與實務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EED22D00K002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二上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The Administration of Education and Practice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23292" w:rsidTr="00A1450D">
        <w:trPr>
          <w:cantSplit/>
          <w:trHeight w:val="20"/>
          <w:jc w:val="center"/>
        </w:trPr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教育政策分析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EED22D00K003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Educational Policy Analysis in Education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23292" w:rsidTr="00A1450D">
        <w:trPr>
          <w:cantSplit/>
          <w:trHeight w:val="20"/>
          <w:jc w:val="center"/>
        </w:trPr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教師專業化專題研究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EED22D00K004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二上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Teacher </w:t>
            </w:r>
            <w:proofErr w:type="spell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Professionization</w:t>
            </w:r>
            <w:proofErr w:type="spell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23292" w:rsidTr="00A1450D">
        <w:trPr>
          <w:cantSplit/>
          <w:trHeight w:val="20"/>
          <w:jc w:val="center"/>
        </w:trPr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生涯發展教育研究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EED22D00K005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Research of Career Development Education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92" w:rsidRDefault="0082329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</w:tbl>
    <w:p w:rsidR="00823292" w:rsidRDefault="00823292" w:rsidP="00823292">
      <w:pPr>
        <w:widowControl/>
      </w:pPr>
    </w:p>
    <w:p w:rsidR="00823292" w:rsidRDefault="00823292" w:rsidP="00823292"/>
    <w:p w:rsidR="009A240D" w:rsidRPr="00823292" w:rsidRDefault="009A240D" w:rsidP="00823292"/>
    <w:sectPr w:rsidR="009A240D" w:rsidRPr="00823292" w:rsidSect="008232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C46E2"/>
    <w:multiLevelType w:val="hybridMultilevel"/>
    <w:tmpl w:val="FA36837C"/>
    <w:lvl w:ilvl="0" w:tplc="13B8F7E2">
      <w:start w:val="1"/>
      <w:numFmt w:val="decimal"/>
      <w:lvlText w:val="(%1)."/>
      <w:lvlJc w:val="left"/>
      <w:pPr>
        <w:ind w:left="1140" w:hanging="480"/>
      </w:pPr>
    </w:lvl>
    <w:lvl w:ilvl="1" w:tplc="04090019">
      <w:start w:val="1"/>
      <w:numFmt w:val="ideographTraditional"/>
      <w:lvlText w:val="%2、"/>
      <w:lvlJc w:val="left"/>
      <w:pPr>
        <w:ind w:left="1620" w:hanging="480"/>
      </w:pPr>
    </w:lvl>
    <w:lvl w:ilvl="2" w:tplc="0409001B">
      <w:start w:val="1"/>
      <w:numFmt w:val="lowerRoman"/>
      <w:lvlText w:val="%3."/>
      <w:lvlJc w:val="right"/>
      <w:pPr>
        <w:ind w:left="2100" w:hanging="480"/>
      </w:pPr>
    </w:lvl>
    <w:lvl w:ilvl="3" w:tplc="0409000F">
      <w:start w:val="1"/>
      <w:numFmt w:val="decimal"/>
      <w:lvlText w:val="%4."/>
      <w:lvlJc w:val="left"/>
      <w:pPr>
        <w:ind w:left="2580" w:hanging="480"/>
      </w:pPr>
    </w:lvl>
    <w:lvl w:ilvl="4" w:tplc="04090019">
      <w:start w:val="1"/>
      <w:numFmt w:val="ideographTraditional"/>
      <w:lvlText w:val="%5、"/>
      <w:lvlJc w:val="left"/>
      <w:pPr>
        <w:ind w:left="3060" w:hanging="480"/>
      </w:pPr>
    </w:lvl>
    <w:lvl w:ilvl="5" w:tplc="0409001B">
      <w:start w:val="1"/>
      <w:numFmt w:val="lowerRoman"/>
      <w:lvlText w:val="%6."/>
      <w:lvlJc w:val="right"/>
      <w:pPr>
        <w:ind w:left="3540" w:hanging="480"/>
      </w:pPr>
    </w:lvl>
    <w:lvl w:ilvl="6" w:tplc="0409000F">
      <w:start w:val="1"/>
      <w:numFmt w:val="decimal"/>
      <w:lvlText w:val="%7."/>
      <w:lvlJc w:val="left"/>
      <w:pPr>
        <w:ind w:left="4020" w:hanging="480"/>
      </w:pPr>
    </w:lvl>
    <w:lvl w:ilvl="7" w:tplc="04090019">
      <w:start w:val="1"/>
      <w:numFmt w:val="ideographTraditional"/>
      <w:lvlText w:val="%8、"/>
      <w:lvlJc w:val="left"/>
      <w:pPr>
        <w:ind w:left="4500" w:hanging="480"/>
      </w:pPr>
    </w:lvl>
    <w:lvl w:ilvl="8" w:tplc="0409001B">
      <w:start w:val="1"/>
      <w:numFmt w:val="lowerRoman"/>
      <w:lvlText w:val="%9."/>
      <w:lvlJc w:val="right"/>
      <w:pPr>
        <w:ind w:left="4980" w:hanging="480"/>
      </w:pPr>
    </w:lvl>
  </w:abstractNum>
  <w:abstractNum w:abstractNumId="1">
    <w:nsid w:val="40E60A0F"/>
    <w:multiLevelType w:val="multilevel"/>
    <w:tmpl w:val="AEDCC01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ascii="Times New Roman" w:eastAsia="新細明體" w:hAnsi="Times New Roman" w:cs="Times New Roman" w:hint="eastAsia"/>
      </w:rPr>
    </w:lvl>
    <w:lvl w:ilvl="1">
      <w:start w:val="1"/>
      <w:numFmt w:val="ideographTraditional"/>
      <w:lvlText w:val="%2、"/>
      <w:lvlJc w:val="left"/>
      <w:pPr>
        <w:ind w:left="1620" w:hanging="480"/>
      </w:pPr>
    </w:lvl>
    <w:lvl w:ilvl="2">
      <w:start w:val="1"/>
      <w:numFmt w:val="lowerRoman"/>
      <w:lvlText w:val="%3."/>
      <w:lvlJc w:val="right"/>
      <w:pPr>
        <w:ind w:left="2100" w:hanging="480"/>
      </w:pPr>
    </w:lvl>
    <w:lvl w:ilvl="3">
      <w:start w:val="1"/>
      <w:numFmt w:val="decimal"/>
      <w:lvlText w:val="%4."/>
      <w:lvlJc w:val="left"/>
      <w:pPr>
        <w:ind w:left="2580" w:hanging="480"/>
      </w:pPr>
    </w:lvl>
    <w:lvl w:ilvl="4">
      <w:start w:val="1"/>
      <w:numFmt w:val="ideographTraditional"/>
      <w:lvlText w:val="%5、"/>
      <w:lvlJc w:val="left"/>
      <w:pPr>
        <w:ind w:left="3060" w:hanging="480"/>
      </w:pPr>
    </w:lvl>
    <w:lvl w:ilvl="5">
      <w:start w:val="1"/>
      <w:numFmt w:val="lowerRoman"/>
      <w:lvlText w:val="%6."/>
      <w:lvlJc w:val="right"/>
      <w:pPr>
        <w:ind w:left="3540" w:hanging="480"/>
      </w:pPr>
    </w:lvl>
    <w:lvl w:ilvl="6">
      <w:start w:val="1"/>
      <w:numFmt w:val="decimal"/>
      <w:lvlText w:val="%7."/>
      <w:lvlJc w:val="left"/>
      <w:pPr>
        <w:ind w:left="4020" w:hanging="480"/>
      </w:pPr>
    </w:lvl>
    <w:lvl w:ilvl="7">
      <w:start w:val="1"/>
      <w:numFmt w:val="ideographTraditional"/>
      <w:lvlText w:val="%8、"/>
      <w:lvlJc w:val="left"/>
      <w:pPr>
        <w:ind w:left="4500" w:hanging="480"/>
      </w:pPr>
    </w:lvl>
    <w:lvl w:ilvl="8">
      <w:start w:val="1"/>
      <w:numFmt w:val="lowerRoman"/>
      <w:lvlText w:val="%9."/>
      <w:lvlJc w:val="right"/>
      <w:pPr>
        <w:ind w:left="4980" w:hanging="480"/>
      </w:pPr>
    </w:lvl>
  </w:abstractNum>
  <w:abstractNum w:abstractNumId="2">
    <w:nsid w:val="7A375C22"/>
    <w:multiLevelType w:val="hybridMultilevel"/>
    <w:tmpl w:val="44F010A8"/>
    <w:lvl w:ilvl="0" w:tplc="35DCB3E8">
      <w:start w:val="1"/>
      <w:numFmt w:val="taiwaneseCountingThousand"/>
      <w:lvlText w:val="（%1）"/>
      <w:lvlJc w:val="left"/>
      <w:pPr>
        <w:ind w:left="954" w:hanging="885"/>
      </w:pPr>
    </w:lvl>
    <w:lvl w:ilvl="1" w:tplc="04090019">
      <w:start w:val="1"/>
      <w:numFmt w:val="ideographTraditional"/>
      <w:lvlText w:val="%2、"/>
      <w:lvlJc w:val="left"/>
      <w:pPr>
        <w:ind w:left="1029" w:hanging="480"/>
      </w:pPr>
    </w:lvl>
    <w:lvl w:ilvl="2" w:tplc="0409001B">
      <w:start w:val="1"/>
      <w:numFmt w:val="lowerRoman"/>
      <w:lvlText w:val="%3."/>
      <w:lvlJc w:val="right"/>
      <w:pPr>
        <w:ind w:left="1509" w:hanging="480"/>
      </w:pPr>
    </w:lvl>
    <w:lvl w:ilvl="3" w:tplc="0409000F">
      <w:start w:val="1"/>
      <w:numFmt w:val="decimal"/>
      <w:lvlText w:val="%4."/>
      <w:lvlJc w:val="left"/>
      <w:pPr>
        <w:ind w:left="1989" w:hanging="480"/>
      </w:pPr>
    </w:lvl>
    <w:lvl w:ilvl="4" w:tplc="04090019">
      <w:start w:val="1"/>
      <w:numFmt w:val="ideographTraditional"/>
      <w:lvlText w:val="%5、"/>
      <w:lvlJc w:val="left"/>
      <w:pPr>
        <w:ind w:left="2469" w:hanging="480"/>
      </w:pPr>
    </w:lvl>
    <w:lvl w:ilvl="5" w:tplc="0409001B">
      <w:start w:val="1"/>
      <w:numFmt w:val="lowerRoman"/>
      <w:lvlText w:val="%6."/>
      <w:lvlJc w:val="right"/>
      <w:pPr>
        <w:ind w:left="2949" w:hanging="480"/>
      </w:pPr>
    </w:lvl>
    <w:lvl w:ilvl="6" w:tplc="0409000F">
      <w:start w:val="1"/>
      <w:numFmt w:val="decimal"/>
      <w:lvlText w:val="%7."/>
      <w:lvlJc w:val="left"/>
      <w:pPr>
        <w:ind w:left="3429" w:hanging="480"/>
      </w:pPr>
    </w:lvl>
    <w:lvl w:ilvl="7" w:tplc="04090019">
      <w:start w:val="1"/>
      <w:numFmt w:val="ideographTraditional"/>
      <w:lvlText w:val="%8、"/>
      <w:lvlJc w:val="left"/>
      <w:pPr>
        <w:ind w:left="3909" w:hanging="480"/>
      </w:pPr>
    </w:lvl>
    <w:lvl w:ilvl="8" w:tplc="0409001B">
      <w:start w:val="1"/>
      <w:numFmt w:val="lowerRoman"/>
      <w:lvlText w:val="%9."/>
      <w:lvlJc w:val="right"/>
      <w:pPr>
        <w:ind w:left="4389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92"/>
    <w:rsid w:val="000F39A7"/>
    <w:rsid w:val="00735DB5"/>
    <w:rsid w:val="00823292"/>
    <w:rsid w:val="009A240D"/>
    <w:rsid w:val="00A1450D"/>
    <w:rsid w:val="00B9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">
    <w:name w:val="內文_02說明 一"/>
    <w:basedOn w:val="a"/>
    <w:qFormat/>
    <w:rsid w:val="00823292"/>
    <w:pPr>
      <w:tabs>
        <w:tab w:val="left" w:pos="567"/>
      </w:tabs>
      <w:snapToGrid w:val="0"/>
      <w:spacing w:beforeLines="50" w:line="360" w:lineRule="atLeast"/>
      <w:jc w:val="both"/>
    </w:pPr>
    <w:rPr>
      <w:rFonts w:ascii="標楷體" w:eastAsia="標楷體" w:hAnsi="標楷體" w:cs="標楷體"/>
    </w:rPr>
  </w:style>
  <w:style w:type="table" w:styleId="a3">
    <w:name w:val="Table Grid"/>
    <w:basedOn w:val="a1"/>
    <w:rsid w:val="00A145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">
    <w:name w:val="內文_02說明 一"/>
    <w:basedOn w:val="a"/>
    <w:qFormat/>
    <w:rsid w:val="00823292"/>
    <w:pPr>
      <w:tabs>
        <w:tab w:val="left" w:pos="567"/>
      </w:tabs>
      <w:snapToGrid w:val="0"/>
      <w:spacing w:beforeLines="50" w:line="360" w:lineRule="atLeast"/>
      <w:jc w:val="both"/>
    </w:pPr>
    <w:rPr>
      <w:rFonts w:ascii="標楷體" w:eastAsia="標楷體" w:hAnsi="標楷體" w:cs="標楷體"/>
    </w:rPr>
  </w:style>
  <w:style w:type="table" w:styleId="a3">
    <w:name w:val="Table Grid"/>
    <w:basedOn w:val="a1"/>
    <w:rsid w:val="00A145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8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user20150605</dc:creator>
  <cp:lastModifiedBy>user20150605</cp:lastModifiedBy>
  <cp:revision>5</cp:revision>
  <dcterms:created xsi:type="dcterms:W3CDTF">2017-06-27T07:03:00Z</dcterms:created>
  <dcterms:modified xsi:type="dcterms:W3CDTF">2017-06-30T08:35:00Z</dcterms:modified>
</cp:coreProperties>
</file>