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C2" w:rsidRPr="00A85FF5" w:rsidRDefault="00790AC2" w:rsidP="00790AC2">
      <w:pPr>
        <w:ind w:leftChars="35" w:left="742" w:hangingChars="274" w:hanging="658"/>
        <w:jc w:val="center"/>
        <w:rPr>
          <w:rFonts w:ascii="標楷體" w:eastAsia="標楷體" w:hAnsi="標楷體"/>
          <w:b/>
          <w:bCs/>
          <w:szCs w:val="28"/>
        </w:rPr>
      </w:pPr>
      <w:r w:rsidRPr="00A85FF5">
        <w:rPr>
          <w:rFonts w:ascii="標楷體" w:eastAsia="標楷體" w:hAnsi="標楷體" w:hint="eastAsia"/>
          <w:b/>
          <w:bCs/>
          <w:szCs w:val="28"/>
        </w:rPr>
        <w:t>國立臺東大學　104學年度　課程綱要</w:t>
      </w:r>
    </w:p>
    <w:p w:rsidR="00790AC2" w:rsidRPr="00A85FF5" w:rsidRDefault="00790AC2" w:rsidP="00790AC2">
      <w:pPr>
        <w:ind w:leftChars="35" w:left="742" w:hangingChars="274" w:hanging="658"/>
        <w:jc w:val="center"/>
        <w:rPr>
          <w:rFonts w:ascii="標楷體" w:eastAsia="標楷體" w:hAnsi="標楷體"/>
          <w:b/>
          <w:bCs/>
          <w:szCs w:val="28"/>
        </w:rPr>
      </w:pPr>
      <w:r w:rsidRPr="00A85FF5">
        <w:rPr>
          <w:rFonts w:ascii="標楷體" w:eastAsia="標楷體" w:hAnsi="標楷體" w:hint="eastAsia"/>
          <w:b/>
          <w:bCs/>
          <w:szCs w:val="28"/>
        </w:rPr>
        <w:t>師範學院　教育學系　教育研究博士班課程</w:t>
      </w:r>
    </w:p>
    <w:p w:rsidR="00790AC2" w:rsidRPr="00A85FF5" w:rsidRDefault="00790AC2" w:rsidP="00790AC2">
      <w:pPr>
        <w:snapToGrid w:val="0"/>
        <w:jc w:val="right"/>
        <w:rPr>
          <w:rFonts w:ascii="標楷體" w:eastAsia="標楷體" w:hAnsi="標楷體"/>
          <w:sz w:val="16"/>
          <w:szCs w:val="20"/>
        </w:rPr>
      </w:pPr>
      <w:bookmarkStart w:id="0" w:name="_Toc251061982"/>
      <w:r w:rsidRPr="00A85FF5">
        <w:rPr>
          <w:rFonts w:ascii="標楷體" w:eastAsia="標楷體" w:hAnsi="標楷體" w:hint="eastAsia"/>
          <w:sz w:val="16"/>
          <w:szCs w:val="20"/>
        </w:rPr>
        <w:t>103學年度第2學期第2次系課程會議(1040331)</w:t>
      </w:r>
    </w:p>
    <w:p w:rsidR="00790AC2" w:rsidRPr="00A85FF5" w:rsidRDefault="00790AC2" w:rsidP="00790AC2">
      <w:pPr>
        <w:snapToGrid w:val="0"/>
        <w:jc w:val="right"/>
        <w:rPr>
          <w:rFonts w:ascii="標楷體" w:eastAsia="標楷體" w:hAnsi="標楷體"/>
          <w:sz w:val="16"/>
          <w:szCs w:val="20"/>
        </w:rPr>
      </w:pPr>
      <w:r w:rsidRPr="00A85FF5">
        <w:rPr>
          <w:rFonts w:ascii="標楷體" w:eastAsia="標楷體" w:hAnsi="標楷體" w:hint="eastAsia"/>
          <w:sz w:val="16"/>
          <w:szCs w:val="20"/>
        </w:rPr>
        <w:t>103學年度第2學期第3次院課程暨院務會議(1040608)</w:t>
      </w:r>
    </w:p>
    <w:p w:rsidR="00790AC2" w:rsidRPr="00A85FF5" w:rsidRDefault="00790AC2" w:rsidP="00790AC2">
      <w:pPr>
        <w:snapToGrid w:val="0"/>
        <w:jc w:val="right"/>
        <w:rPr>
          <w:rFonts w:ascii="標楷體" w:eastAsia="標楷體" w:hAnsi="標楷體"/>
          <w:sz w:val="20"/>
          <w:szCs w:val="20"/>
        </w:rPr>
      </w:pPr>
      <w:r w:rsidRPr="00A85FF5">
        <w:rPr>
          <w:rFonts w:ascii="標楷體" w:eastAsia="標楷體" w:hAnsi="標楷體" w:hint="eastAsia"/>
          <w:sz w:val="16"/>
          <w:szCs w:val="20"/>
        </w:rPr>
        <w:t>103學年度第2學期第2次校課程會議(1040611)</w:t>
      </w:r>
    </w:p>
    <w:p w:rsidR="00790AC2" w:rsidRPr="00A85FF5" w:rsidRDefault="00790AC2" w:rsidP="00790AC2">
      <w:pPr>
        <w:jc w:val="center"/>
        <w:rPr>
          <w:rFonts w:ascii="標楷體" w:eastAsia="標楷體" w:hAnsi="標楷體"/>
          <w:b/>
          <w:lang w:val="zh-TW"/>
        </w:rPr>
      </w:pPr>
      <w:r w:rsidRPr="00A85FF5">
        <w:rPr>
          <w:rFonts w:ascii="標楷體" w:eastAsia="標楷體" w:hAnsi="標楷體" w:hint="eastAsia"/>
          <w:b/>
          <w:spacing w:val="112"/>
          <w:kern w:val="0"/>
          <w:fitText w:val="4896" w:id="924503040"/>
          <w:lang w:val="zh-TW"/>
        </w:rPr>
        <w:t>教育研究博士班課程架</w:t>
      </w:r>
      <w:r w:rsidRPr="00A85FF5">
        <w:rPr>
          <w:rFonts w:ascii="標楷體" w:eastAsia="標楷體" w:hAnsi="標楷體" w:hint="eastAsia"/>
          <w:b/>
          <w:spacing w:val="7"/>
          <w:kern w:val="0"/>
          <w:fitText w:val="4896" w:id="924503040"/>
          <w:lang w:val="zh-TW"/>
        </w:rPr>
        <w:t>構</w:t>
      </w:r>
      <w:bookmarkEnd w:id="0"/>
    </w:p>
    <w:p w:rsidR="00790AC2" w:rsidRPr="00A85FF5" w:rsidRDefault="00790AC2" w:rsidP="00790AC2">
      <w:pPr>
        <w:snapToGrid w:val="0"/>
        <w:jc w:val="right"/>
        <w:rPr>
          <w:rFonts w:ascii="標楷體" w:eastAsia="標楷體" w:hAnsi="標楷體"/>
          <w:sz w:val="16"/>
          <w:szCs w:val="20"/>
        </w:rPr>
      </w:pPr>
      <w:r w:rsidRPr="00A85FF5">
        <w:rPr>
          <w:rFonts w:ascii="標楷體" w:eastAsia="標楷體" w:hAnsi="標楷體" w:hint="eastAsia"/>
          <w:sz w:val="16"/>
          <w:szCs w:val="20"/>
        </w:rPr>
        <w:t>94.11.28九十四學年度第一學期第四次系務會議通過</w:t>
      </w:r>
    </w:p>
    <w:p w:rsidR="00790AC2" w:rsidRPr="00A85FF5" w:rsidRDefault="00790AC2" w:rsidP="00790AC2">
      <w:pPr>
        <w:snapToGrid w:val="0"/>
        <w:jc w:val="right"/>
        <w:rPr>
          <w:rFonts w:ascii="標楷體" w:eastAsia="標楷體" w:hAnsi="標楷體"/>
          <w:sz w:val="16"/>
          <w:szCs w:val="20"/>
        </w:rPr>
      </w:pPr>
      <w:r w:rsidRPr="00A85FF5">
        <w:rPr>
          <w:rFonts w:ascii="標楷體" w:eastAsia="標楷體" w:hAnsi="標楷體" w:hint="eastAsia"/>
          <w:sz w:val="16"/>
          <w:szCs w:val="20"/>
        </w:rPr>
        <w:t>98.09.29九十八學年度第一學期第一次系課程會議修正</w:t>
      </w:r>
    </w:p>
    <w:p w:rsidR="00790AC2" w:rsidRPr="00A85FF5" w:rsidRDefault="00790AC2" w:rsidP="00790AC2">
      <w:pPr>
        <w:snapToGrid w:val="0"/>
        <w:jc w:val="right"/>
        <w:rPr>
          <w:rFonts w:ascii="標楷體" w:eastAsia="標楷體" w:hAnsi="標楷體"/>
          <w:sz w:val="16"/>
          <w:szCs w:val="20"/>
        </w:rPr>
      </w:pPr>
      <w:r w:rsidRPr="00A85FF5">
        <w:rPr>
          <w:rFonts w:ascii="標楷體" w:eastAsia="標楷體" w:hAnsi="標楷體" w:hint="eastAsia"/>
          <w:sz w:val="16"/>
          <w:szCs w:val="20"/>
        </w:rPr>
        <w:t>99.01.22九十八學年度第一學期第二次系務會議修正</w:t>
      </w:r>
    </w:p>
    <w:p w:rsidR="00790AC2" w:rsidRPr="00A85FF5" w:rsidRDefault="00790AC2" w:rsidP="00790AC2">
      <w:pPr>
        <w:snapToGrid w:val="0"/>
        <w:jc w:val="right"/>
        <w:rPr>
          <w:rFonts w:ascii="標楷體" w:eastAsia="標楷體" w:hAnsi="標楷體"/>
          <w:sz w:val="16"/>
          <w:szCs w:val="20"/>
        </w:rPr>
      </w:pPr>
      <w:r w:rsidRPr="00A85FF5">
        <w:rPr>
          <w:rFonts w:ascii="標楷體" w:eastAsia="標楷體" w:hAnsi="標楷體" w:hint="eastAsia"/>
          <w:sz w:val="16"/>
          <w:szCs w:val="20"/>
        </w:rPr>
        <w:t>99.10.19九十九學年度第一學期第二次系務會議修正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610"/>
        <w:gridCol w:w="2678"/>
        <w:gridCol w:w="1696"/>
        <w:gridCol w:w="1378"/>
      </w:tblGrid>
      <w:tr w:rsidR="00A85FF5" w:rsidRPr="00A85FF5" w:rsidTr="001B6B96">
        <w:trPr>
          <w:trHeight w:val="20"/>
          <w:tblHeader/>
          <w:jc w:val="center"/>
        </w:trPr>
        <w:tc>
          <w:tcPr>
            <w:tcW w:w="1561" w:type="pct"/>
            <w:tcBorders>
              <w:top w:val="double" w:sz="4" w:space="0" w:color="auto"/>
              <w:left w:val="double" w:sz="4" w:space="0" w:color="auto"/>
              <w:bottom w:val="single" w:sz="12" w:space="0" w:color="auto"/>
              <w:right w:val="single" w:sz="4" w:space="0" w:color="auto"/>
            </w:tcBorders>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類   別</w:t>
            </w:r>
          </w:p>
        </w:tc>
        <w:tc>
          <w:tcPr>
            <w:tcW w:w="2615" w:type="pct"/>
            <w:gridSpan w:val="2"/>
            <w:tcBorders>
              <w:top w:val="double" w:sz="4" w:space="0" w:color="auto"/>
              <w:left w:val="single" w:sz="4" w:space="0" w:color="auto"/>
              <w:bottom w:val="single" w:sz="12" w:space="0" w:color="auto"/>
              <w:right w:val="single" w:sz="4" w:space="0" w:color="auto"/>
            </w:tcBorders>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科   目</w:t>
            </w:r>
          </w:p>
        </w:tc>
        <w:tc>
          <w:tcPr>
            <w:tcW w:w="824" w:type="pct"/>
            <w:tcBorders>
              <w:top w:val="double" w:sz="4" w:space="0" w:color="auto"/>
              <w:left w:val="single" w:sz="4" w:space="0" w:color="auto"/>
              <w:bottom w:val="single" w:sz="12" w:space="0" w:color="auto"/>
              <w:right w:val="double" w:sz="4" w:space="0" w:color="auto"/>
            </w:tcBorders>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學分數</w:t>
            </w:r>
          </w:p>
        </w:tc>
      </w:tr>
      <w:tr w:rsidR="00A85FF5" w:rsidRPr="00A85FF5" w:rsidTr="001B6B96">
        <w:trPr>
          <w:trHeight w:val="20"/>
          <w:jc w:val="center"/>
        </w:trPr>
        <w:tc>
          <w:tcPr>
            <w:tcW w:w="1561" w:type="pct"/>
            <w:vMerge w:val="restart"/>
            <w:tcBorders>
              <w:top w:val="single" w:sz="12" w:space="0" w:color="auto"/>
              <w:left w:val="doub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必選領域課程</w:t>
            </w:r>
          </w:p>
        </w:tc>
        <w:tc>
          <w:tcPr>
            <w:tcW w:w="2615" w:type="pct"/>
            <w:gridSpan w:val="2"/>
            <w:tcBorders>
              <w:top w:val="single" w:sz="12"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教育研究方法論</w:t>
            </w:r>
          </w:p>
        </w:tc>
        <w:tc>
          <w:tcPr>
            <w:tcW w:w="824" w:type="pct"/>
            <w:vMerge w:val="restart"/>
            <w:tcBorders>
              <w:top w:val="single" w:sz="12" w:space="0" w:color="auto"/>
              <w:left w:val="single" w:sz="4" w:space="0" w:color="auto"/>
              <w:bottom w:val="single" w:sz="4" w:space="0" w:color="auto"/>
              <w:right w:val="doub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至少10學分</w:t>
            </w:r>
          </w:p>
        </w:tc>
      </w:tr>
      <w:tr w:rsidR="00A85FF5" w:rsidRPr="00A85FF5" w:rsidTr="001B6B96">
        <w:trPr>
          <w:trHeight w:val="20"/>
          <w:jc w:val="center"/>
        </w:trPr>
        <w:tc>
          <w:tcPr>
            <w:tcW w:w="1561" w:type="pct"/>
            <w:vMerge/>
            <w:tcBorders>
              <w:top w:val="single" w:sz="12" w:space="0" w:color="auto"/>
              <w:left w:val="doub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1601"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量化研究方法</w:t>
            </w:r>
          </w:p>
        </w:tc>
        <w:tc>
          <w:tcPr>
            <w:tcW w:w="1013" w:type="pct"/>
            <w:vMerge w:val="restar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四選一</w:t>
            </w:r>
          </w:p>
        </w:tc>
        <w:tc>
          <w:tcPr>
            <w:tcW w:w="824" w:type="pct"/>
            <w:vMerge/>
            <w:tcBorders>
              <w:top w:val="single" w:sz="12" w:space="0" w:color="auto"/>
              <w:left w:val="single" w:sz="4" w:space="0" w:color="auto"/>
              <w:bottom w:val="single" w:sz="4" w:space="0" w:color="auto"/>
              <w:right w:val="doub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r>
      <w:tr w:rsidR="00A85FF5" w:rsidRPr="00A85FF5" w:rsidTr="001B6B96">
        <w:trPr>
          <w:trHeight w:val="20"/>
          <w:jc w:val="center"/>
        </w:trPr>
        <w:tc>
          <w:tcPr>
            <w:tcW w:w="1561" w:type="pct"/>
            <w:vMerge/>
            <w:tcBorders>
              <w:top w:val="single" w:sz="12" w:space="0" w:color="auto"/>
              <w:left w:val="doub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1601"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高等教育統計學</w:t>
            </w:r>
          </w:p>
        </w:tc>
        <w:tc>
          <w:tcPr>
            <w:tcW w:w="1013" w:type="pct"/>
            <w:vMerge/>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824" w:type="pct"/>
            <w:vMerge/>
            <w:tcBorders>
              <w:top w:val="single" w:sz="12" w:space="0" w:color="auto"/>
              <w:left w:val="single" w:sz="4" w:space="0" w:color="auto"/>
              <w:bottom w:val="single" w:sz="4" w:space="0" w:color="auto"/>
              <w:right w:val="doub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r>
      <w:tr w:rsidR="00A85FF5" w:rsidRPr="00A85FF5" w:rsidTr="001B6B96">
        <w:trPr>
          <w:trHeight w:val="20"/>
          <w:jc w:val="center"/>
        </w:trPr>
        <w:tc>
          <w:tcPr>
            <w:tcW w:w="1561" w:type="pct"/>
            <w:vMerge/>
            <w:tcBorders>
              <w:top w:val="single" w:sz="12" w:space="0" w:color="auto"/>
              <w:left w:val="doub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1601"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質化研究方法</w:t>
            </w:r>
          </w:p>
        </w:tc>
        <w:tc>
          <w:tcPr>
            <w:tcW w:w="1013" w:type="pct"/>
            <w:vMerge/>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824" w:type="pct"/>
            <w:vMerge/>
            <w:tcBorders>
              <w:top w:val="single" w:sz="12" w:space="0" w:color="auto"/>
              <w:left w:val="single" w:sz="4" w:space="0" w:color="auto"/>
              <w:bottom w:val="single" w:sz="4" w:space="0" w:color="auto"/>
              <w:right w:val="doub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r>
      <w:tr w:rsidR="00A85FF5" w:rsidRPr="00A85FF5" w:rsidTr="001B6B96">
        <w:trPr>
          <w:trHeight w:val="20"/>
          <w:jc w:val="center"/>
        </w:trPr>
        <w:tc>
          <w:tcPr>
            <w:tcW w:w="1561" w:type="pct"/>
            <w:vMerge/>
            <w:tcBorders>
              <w:top w:val="single" w:sz="12" w:space="0" w:color="auto"/>
              <w:left w:val="doub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1601"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內容分析法</w:t>
            </w:r>
          </w:p>
        </w:tc>
        <w:tc>
          <w:tcPr>
            <w:tcW w:w="1013" w:type="pct"/>
            <w:vMerge/>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824" w:type="pct"/>
            <w:vMerge/>
            <w:tcBorders>
              <w:top w:val="single" w:sz="12" w:space="0" w:color="auto"/>
              <w:left w:val="single" w:sz="4" w:space="0" w:color="auto"/>
              <w:bottom w:val="single" w:sz="4" w:space="0" w:color="auto"/>
              <w:right w:val="doub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r>
      <w:tr w:rsidR="00A85FF5" w:rsidRPr="00A85FF5" w:rsidTr="001B6B96">
        <w:trPr>
          <w:trHeight w:val="20"/>
          <w:jc w:val="center"/>
        </w:trPr>
        <w:tc>
          <w:tcPr>
            <w:tcW w:w="1561" w:type="pct"/>
            <w:vMerge/>
            <w:tcBorders>
              <w:top w:val="single" w:sz="12" w:space="0" w:color="auto"/>
              <w:left w:val="doub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2615"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專題討論（一）~(四)</w:t>
            </w:r>
          </w:p>
        </w:tc>
        <w:tc>
          <w:tcPr>
            <w:tcW w:w="824" w:type="pct"/>
            <w:vMerge/>
            <w:tcBorders>
              <w:top w:val="single" w:sz="12" w:space="0" w:color="auto"/>
              <w:left w:val="single" w:sz="4" w:space="0" w:color="auto"/>
              <w:bottom w:val="single" w:sz="4" w:space="0" w:color="auto"/>
              <w:right w:val="doub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r>
      <w:tr w:rsidR="00A85FF5" w:rsidRPr="00A85FF5" w:rsidTr="001B6B96">
        <w:trPr>
          <w:trHeight w:val="20"/>
          <w:jc w:val="center"/>
        </w:trPr>
        <w:tc>
          <w:tcPr>
            <w:tcW w:w="1561" w:type="pct"/>
            <w:vMerge w:val="restart"/>
            <w:tcBorders>
              <w:top w:val="single" w:sz="12" w:space="0" w:color="auto"/>
              <w:left w:val="double" w:sz="4" w:space="0" w:color="auto"/>
              <w:bottom w:val="single" w:sz="12"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專門領域選修課程</w:t>
            </w:r>
          </w:p>
        </w:tc>
        <w:tc>
          <w:tcPr>
            <w:tcW w:w="2615" w:type="pct"/>
            <w:gridSpan w:val="2"/>
            <w:tcBorders>
              <w:top w:val="single" w:sz="12"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教育理論類</w:t>
            </w:r>
          </w:p>
        </w:tc>
        <w:tc>
          <w:tcPr>
            <w:tcW w:w="824" w:type="pct"/>
            <w:vMerge w:val="restart"/>
            <w:tcBorders>
              <w:top w:val="single" w:sz="12" w:space="0" w:color="auto"/>
              <w:left w:val="single" w:sz="4" w:space="0" w:color="auto"/>
              <w:bottom w:val="single" w:sz="12" w:space="0" w:color="auto"/>
              <w:right w:val="doub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至少8學分</w:t>
            </w:r>
          </w:p>
        </w:tc>
      </w:tr>
      <w:tr w:rsidR="00A85FF5" w:rsidRPr="00A85FF5" w:rsidTr="001B6B96">
        <w:trPr>
          <w:trHeight w:val="20"/>
          <w:jc w:val="center"/>
        </w:trPr>
        <w:tc>
          <w:tcPr>
            <w:tcW w:w="1561" w:type="pct"/>
            <w:vMerge/>
            <w:tcBorders>
              <w:top w:val="single" w:sz="12" w:space="0" w:color="auto"/>
              <w:left w:val="double" w:sz="4" w:space="0" w:color="auto"/>
              <w:bottom w:val="single" w:sz="12"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2615"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教育行政與管理類</w:t>
            </w:r>
          </w:p>
        </w:tc>
        <w:tc>
          <w:tcPr>
            <w:tcW w:w="824" w:type="pct"/>
            <w:vMerge/>
            <w:tcBorders>
              <w:top w:val="single" w:sz="12" w:space="0" w:color="auto"/>
              <w:left w:val="single" w:sz="4" w:space="0" w:color="auto"/>
              <w:bottom w:val="single" w:sz="12" w:space="0" w:color="auto"/>
              <w:right w:val="doub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r>
      <w:tr w:rsidR="00A85FF5" w:rsidRPr="00A85FF5" w:rsidTr="001B6B96">
        <w:trPr>
          <w:trHeight w:val="20"/>
          <w:jc w:val="center"/>
        </w:trPr>
        <w:tc>
          <w:tcPr>
            <w:tcW w:w="1561" w:type="pct"/>
            <w:vMerge/>
            <w:tcBorders>
              <w:top w:val="single" w:sz="12" w:space="0" w:color="auto"/>
              <w:left w:val="double" w:sz="4" w:space="0" w:color="auto"/>
              <w:bottom w:val="single" w:sz="12"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2615" w:type="pct"/>
            <w:gridSpan w:val="2"/>
            <w:tcBorders>
              <w:top w:val="single" w:sz="4" w:space="0" w:color="auto"/>
              <w:left w:val="single" w:sz="4" w:space="0" w:color="auto"/>
              <w:bottom w:val="single" w:sz="12"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課程與教學類</w:t>
            </w:r>
          </w:p>
        </w:tc>
        <w:tc>
          <w:tcPr>
            <w:tcW w:w="824" w:type="pct"/>
            <w:vMerge/>
            <w:tcBorders>
              <w:top w:val="single" w:sz="12" w:space="0" w:color="auto"/>
              <w:left w:val="single" w:sz="4" w:space="0" w:color="auto"/>
              <w:bottom w:val="single" w:sz="12" w:space="0" w:color="auto"/>
              <w:right w:val="doub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r>
      <w:tr w:rsidR="00A85FF5" w:rsidRPr="00A85FF5" w:rsidTr="001B6B96">
        <w:trPr>
          <w:trHeight w:val="20"/>
          <w:jc w:val="center"/>
        </w:trPr>
        <w:tc>
          <w:tcPr>
            <w:tcW w:w="1561" w:type="pct"/>
            <w:tcBorders>
              <w:top w:val="single" w:sz="12" w:space="0" w:color="auto"/>
              <w:left w:val="double" w:sz="4" w:space="0" w:color="auto"/>
              <w:bottom w:val="single" w:sz="12"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共同領域課程</w:t>
            </w:r>
          </w:p>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（碩博士共同選修課程）</w:t>
            </w:r>
          </w:p>
        </w:tc>
        <w:tc>
          <w:tcPr>
            <w:tcW w:w="2615" w:type="pct"/>
            <w:gridSpan w:val="2"/>
            <w:tcBorders>
              <w:top w:val="single" w:sz="12" w:space="0" w:color="auto"/>
              <w:left w:val="single" w:sz="4" w:space="0" w:color="auto"/>
              <w:bottom w:val="single" w:sz="12"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自由選修</w:t>
            </w:r>
          </w:p>
        </w:tc>
        <w:tc>
          <w:tcPr>
            <w:tcW w:w="824" w:type="pct"/>
            <w:tcBorders>
              <w:top w:val="single" w:sz="12" w:space="0" w:color="auto"/>
              <w:left w:val="single" w:sz="4" w:space="0" w:color="auto"/>
              <w:bottom w:val="single" w:sz="12" w:space="0" w:color="auto"/>
              <w:right w:val="double" w:sz="4" w:space="0" w:color="auto"/>
            </w:tcBorders>
            <w:vAlign w:val="center"/>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p>
        </w:tc>
      </w:tr>
      <w:tr w:rsidR="00790AC2" w:rsidRPr="00A85FF5" w:rsidTr="001B6B96">
        <w:trPr>
          <w:trHeight w:val="20"/>
          <w:jc w:val="center"/>
        </w:trPr>
        <w:tc>
          <w:tcPr>
            <w:tcW w:w="5000" w:type="pct"/>
            <w:gridSpan w:val="4"/>
            <w:tcBorders>
              <w:top w:val="single" w:sz="12" w:space="0" w:color="auto"/>
              <w:left w:val="double" w:sz="4" w:space="0" w:color="auto"/>
              <w:bottom w:val="double" w:sz="4" w:space="0" w:color="auto"/>
              <w:right w:val="doub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畢業至少應修習30學分，論文0學分另計。</w:t>
            </w:r>
          </w:p>
        </w:tc>
      </w:tr>
    </w:tbl>
    <w:p w:rsidR="00790AC2" w:rsidRPr="00A85FF5" w:rsidRDefault="00790AC2" w:rsidP="00790AC2">
      <w:pPr>
        <w:spacing w:line="240" w:lineRule="atLeast"/>
        <w:ind w:left="284" w:hangingChars="129" w:hanging="284"/>
        <w:jc w:val="both"/>
        <w:rPr>
          <w:rFonts w:ascii="標楷體" w:eastAsia="標楷體" w:hAnsi="標楷體" w:cs="Times New Roman"/>
          <w:sz w:val="22"/>
          <w:szCs w:val="20"/>
        </w:rPr>
      </w:pPr>
    </w:p>
    <w:p w:rsidR="00790AC2" w:rsidRPr="00A85FF5" w:rsidRDefault="00790AC2" w:rsidP="00790AC2">
      <w:pPr>
        <w:spacing w:line="240" w:lineRule="atLeast"/>
        <w:ind w:left="284" w:hangingChars="129" w:hanging="284"/>
        <w:jc w:val="both"/>
        <w:rPr>
          <w:rFonts w:ascii="標楷體" w:eastAsia="標楷體" w:hAnsi="標楷體"/>
          <w:sz w:val="22"/>
          <w:szCs w:val="20"/>
        </w:rPr>
      </w:pPr>
      <w:r w:rsidRPr="00A85FF5">
        <w:rPr>
          <w:rFonts w:ascii="標楷體" w:eastAsia="標楷體" w:hAnsi="標楷體" w:hint="eastAsia"/>
          <w:sz w:val="22"/>
          <w:szCs w:val="20"/>
        </w:rPr>
        <w:t>國立台東大學教育學系博士班課程規劃表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67"/>
        <w:gridCol w:w="619"/>
        <w:gridCol w:w="1661"/>
        <w:gridCol w:w="192"/>
        <w:gridCol w:w="607"/>
        <w:gridCol w:w="12"/>
        <w:gridCol w:w="1569"/>
        <w:gridCol w:w="594"/>
        <w:gridCol w:w="741"/>
      </w:tblGrid>
      <w:tr w:rsidR="00A85FF5" w:rsidRPr="00A85FF5" w:rsidTr="001B6B96">
        <w:trPr>
          <w:cantSplit/>
          <w:trHeight w:val="379"/>
          <w:jc w:val="center"/>
        </w:trPr>
        <w:tc>
          <w:tcPr>
            <w:tcW w:w="5000" w:type="pct"/>
            <w:gridSpan w:val="9"/>
            <w:tcBorders>
              <w:top w:val="single" w:sz="4" w:space="0" w:color="auto"/>
              <w:left w:val="single" w:sz="4" w:space="0" w:color="auto"/>
              <w:bottom w:val="nil"/>
              <w:right w:val="single" w:sz="4" w:space="0" w:color="auto"/>
            </w:tcBorders>
            <w:shd w:val="clear" w:color="auto" w:fill="CCCCCC"/>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必選課程領域（至少10學分）</w:t>
            </w:r>
          </w:p>
        </w:tc>
      </w:tr>
      <w:tr w:rsidR="00A85FF5" w:rsidRPr="00A85FF5" w:rsidTr="001B6B96">
        <w:trPr>
          <w:cantSplit/>
          <w:trHeight w:val="114"/>
          <w:jc w:val="center"/>
        </w:trPr>
        <w:tc>
          <w:tcPr>
            <w:tcW w:w="2779" w:type="pct"/>
            <w:gridSpan w:val="3"/>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jc w:val="both"/>
              <w:rPr>
                <w:rFonts w:ascii="標楷體" w:eastAsia="標楷體" w:hAnsi="標楷體"/>
                <w:kern w:val="0"/>
                <w:sz w:val="18"/>
                <w:szCs w:val="18"/>
              </w:rPr>
            </w:pPr>
            <w:r w:rsidRPr="00A85FF5">
              <w:rPr>
                <w:rFonts w:ascii="標楷體" w:eastAsia="標楷體" w:hAnsi="標楷體" w:hint="eastAsia"/>
                <w:kern w:val="0"/>
                <w:sz w:val="18"/>
                <w:szCs w:val="18"/>
              </w:rPr>
              <w:t>教育研究方法論</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必修</w:t>
            </w:r>
          </w:p>
        </w:tc>
        <w:tc>
          <w:tcPr>
            <w:tcW w:w="1743" w:type="pct"/>
            <w:gridSpan w:val="4"/>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 xml:space="preserve">     3學分</w:t>
            </w:r>
          </w:p>
        </w:tc>
      </w:tr>
      <w:tr w:rsidR="00A85FF5" w:rsidRPr="00A85FF5" w:rsidTr="001B6B96">
        <w:trPr>
          <w:cantSplit/>
          <w:trHeight w:val="222"/>
          <w:jc w:val="center"/>
        </w:trPr>
        <w:tc>
          <w:tcPr>
            <w:tcW w:w="2779" w:type="pct"/>
            <w:gridSpan w:val="3"/>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專題討論（一）</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必修</w:t>
            </w:r>
          </w:p>
        </w:tc>
        <w:tc>
          <w:tcPr>
            <w:tcW w:w="1743" w:type="pct"/>
            <w:gridSpan w:val="4"/>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 xml:space="preserve">     1學分</w:t>
            </w:r>
          </w:p>
        </w:tc>
      </w:tr>
      <w:tr w:rsidR="00A85FF5" w:rsidRPr="00A85FF5" w:rsidTr="001B6B96">
        <w:trPr>
          <w:cantSplit/>
          <w:trHeight w:val="163"/>
          <w:jc w:val="center"/>
        </w:trPr>
        <w:tc>
          <w:tcPr>
            <w:tcW w:w="2779" w:type="pct"/>
            <w:gridSpan w:val="3"/>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專題討論（二）</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必修</w:t>
            </w:r>
          </w:p>
        </w:tc>
        <w:tc>
          <w:tcPr>
            <w:tcW w:w="1743" w:type="pct"/>
            <w:gridSpan w:val="4"/>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 xml:space="preserve">     1學分</w:t>
            </w:r>
          </w:p>
        </w:tc>
      </w:tr>
      <w:tr w:rsidR="00A85FF5" w:rsidRPr="00A85FF5" w:rsidTr="001B6B96">
        <w:trPr>
          <w:cantSplit/>
          <w:trHeight w:val="92"/>
          <w:jc w:val="center"/>
        </w:trPr>
        <w:tc>
          <w:tcPr>
            <w:tcW w:w="2779" w:type="pct"/>
            <w:gridSpan w:val="3"/>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專題討論（三）</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必修</w:t>
            </w:r>
          </w:p>
        </w:tc>
        <w:tc>
          <w:tcPr>
            <w:tcW w:w="1743" w:type="pct"/>
            <w:gridSpan w:val="4"/>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 xml:space="preserve">     1學分</w:t>
            </w:r>
          </w:p>
        </w:tc>
      </w:tr>
      <w:tr w:rsidR="00A85FF5" w:rsidRPr="00A85FF5" w:rsidTr="001B6B96">
        <w:trPr>
          <w:cantSplit/>
          <w:trHeight w:val="185"/>
          <w:jc w:val="center"/>
        </w:trPr>
        <w:tc>
          <w:tcPr>
            <w:tcW w:w="2779" w:type="pct"/>
            <w:gridSpan w:val="3"/>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專題討論（四）</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必修</w:t>
            </w:r>
          </w:p>
        </w:tc>
        <w:tc>
          <w:tcPr>
            <w:tcW w:w="1743" w:type="pct"/>
            <w:gridSpan w:val="4"/>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 xml:space="preserve">     1學分</w:t>
            </w:r>
          </w:p>
        </w:tc>
      </w:tr>
      <w:tr w:rsidR="00A85FF5" w:rsidRPr="00A85FF5" w:rsidTr="001B6B96">
        <w:trPr>
          <w:cantSplit/>
          <w:trHeight w:val="379"/>
          <w:jc w:val="center"/>
        </w:trPr>
        <w:tc>
          <w:tcPr>
            <w:tcW w:w="2779" w:type="pct"/>
            <w:gridSpan w:val="3"/>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量化研究方法</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選修</w:t>
            </w:r>
          </w:p>
        </w:tc>
        <w:tc>
          <w:tcPr>
            <w:tcW w:w="945"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 xml:space="preserve">     3學分</w:t>
            </w:r>
          </w:p>
        </w:tc>
        <w:tc>
          <w:tcPr>
            <w:tcW w:w="798" w:type="pct"/>
            <w:gridSpan w:val="2"/>
            <w:vMerge w:val="restart"/>
            <w:tcBorders>
              <w:top w:val="single" w:sz="4" w:space="0" w:color="auto"/>
              <w:left w:val="single" w:sz="4" w:space="0" w:color="auto"/>
              <w:bottom w:val="single" w:sz="12"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4選1</w:t>
            </w:r>
          </w:p>
        </w:tc>
      </w:tr>
      <w:tr w:rsidR="00A85FF5" w:rsidRPr="00A85FF5" w:rsidTr="001B6B96">
        <w:trPr>
          <w:cantSplit/>
          <w:trHeight w:val="379"/>
          <w:jc w:val="center"/>
        </w:trPr>
        <w:tc>
          <w:tcPr>
            <w:tcW w:w="2779" w:type="pct"/>
            <w:gridSpan w:val="3"/>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高等教育統計學</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選修</w:t>
            </w:r>
          </w:p>
        </w:tc>
        <w:tc>
          <w:tcPr>
            <w:tcW w:w="945"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 xml:space="preserve">     3學分</w:t>
            </w:r>
          </w:p>
        </w:tc>
        <w:tc>
          <w:tcPr>
            <w:tcW w:w="798" w:type="pct"/>
            <w:gridSpan w:val="2"/>
            <w:vMerge/>
            <w:tcBorders>
              <w:top w:val="single" w:sz="4" w:space="0" w:color="auto"/>
              <w:left w:val="single" w:sz="4" w:space="0" w:color="auto"/>
              <w:bottom w:val="single" w:sz="12"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r>
      <w:tr w:rsidR="00A85FF5" w:rsidRPr="00A85FF5" w:rsidTr="001B6B96">
        <w:trPr>
          <w:cantSplit/>
          <w:trHeight w:val="379"/>
          <w:jc w:val="center"/>
        </w:trPr>
        <w:tc>
          <w:tcPr>
            <w:tcW w:w="2779" w:type="pct"/>
            <w:gridSpan w:val="3"/>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質化研究方法</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選修</w:t>
            </w:r>
          </w:p>
        </w:tc>
        <w:tc>
          <w:tcPr>
            <w:tcW w:w="945"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 xml:space="preserve">     3學分</w:t>
            </w:r>
          </w:p>
        </w:tc>
        <w:tc>
          <w:tcPr>
            <w:tcW w:w="798" w:type="pct"/>
            <w:gridSpan w:val="2"/>
            <w:vMerge/>
            <w:tcBorders>
              <w:top w:val="single" w:sz="4" w:space="0" w:color="auto"/>
              <w:left w:val="single" w:sz="4" w:space="0" w:color="auto"/>
              <w:bottom w:val="single" w:sz="12"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r>
      <w:tr w:rsidR="00A85FF5" w:rsidRPr="00A85FF5" w:rsidTr="001B6B96">
        <w:trPr>
          <w:cantSplit/>
          <w:trHeight w:val="379"/>
          <w:jc w:val="center"/>
        </w:trPr>
        <w:tc>
          <w:tcPr>
            <w:tcW w:w="1" w:type="pct"/>
            <w:gridSpan w:val="3"/>
            <w:tcBorders>
              <w:top w:val="single" w:sz="4" w:space="0" w:color="auto"/>
              <w:left w:val="single" w:sz="4" w:space="0" w:color="auto"/>
              <w:bottom w:val="single" w:sz="12"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內容分析法</w:t>
            </w:r>
          </w:p>
        </w:tc>
        <w:tc>
          <w:tcPr>
            <w:tcW w:w="478" w:type="pct"/>
            <w:gridSpan w:val="2"/>
            <w:tcBorders>
              <w:top w:val="single" w:sz="4" w:space="0" w:color="auto"/>
              <w:left w:val="single" w:sz="4" w:space="0" w:color="auto"/>
              <w:bottom w:val="single" w:sz="12"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選修</w:t>
            </w:r>
          </w:p>
        </w:tc>
        <w:tc>
          <w:tcPr>
            <w:tcW w:w="945" w:type="pct"/>
            <w:gridSpan w:val="2"/>
            <w:tcBorders>
              <w:top w:val="single" w:sz="4" w:space="0" w:color="auto"/>
              <w:left w:val="single" w:sz="4" w:space="0" w:color="auto"/>
              <w:bottom w:val="single" w:sz="12"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 xml:space="preserve">     3學分</w:t>
            </w:r>
          </w:p>
        </w:tc>
        <w:tc>
          <w:tcPr>
            <w:tcW w:w="798" w:type="pct"/>
            <w:gridSpan w:val="2"/>
            <w:vMerge/>
            <w:tcBorders>
              <w:top w:val="single" w:sz="4" w:space="0" w:color="auto"/>
              <w:left w:val="single" w:sz="4" w:space="0" w:color="auto"/>
              <w:bottom w:val="single" w:sz="12"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r>
      <w:tr w:rsidR="00A85FF5" w:rsidRPr="00A85FF5" w:rsidTr="001B6B96">
        <w:trPr>
          <w:cantSplit/>
          <w:trHeight w:val="379"/>
          <w:jc w:val="center"/>
        </w:trPr>
        <w:tc>
          <w:tcPr>
            <w:tcW w:w="5000" w:type="pct"/>
            <w:gridSpan w:val="9"/>
            <w:tcBorders>
              <w:top w:val="single" w:sz="12" w:space="0" w:color="auto"/>
              <w:left w:val="single" w:sz="4" w:space="0" w:color="auto"/>
              <w:bottom w:val="single" w:sz="4" w:space="0" w:color="auto"/>
              <w:right w:val="single" w:sz="4" w:space="0" w:color="auto"/>
            </w:tcBorders>
            <w:shd w:val="clear" w:color="auto" w:fill="D9D9D9"/>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專門領域選修 課程(至少8學分)</w:t>
            </w:r>
          </w:p>
        </w:tc>
      </w:tr>
      <w:tr w:rsidR="00A85FF5" w:rsidRPr="00A85FF5" w:rsidTr="001B6B96">
        <w:trPr>
          <w:cantSplit/>
          <w:trHeight w:val="379"/>
          <w:jc w:val="center"/>
        </w:trPr>
        <w:tc>
          <w:tcPr>
            <w:tcW w:w="1786"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教育理論類</w:t>
            </w:r>
          </w:p>
        </w:tc>
        <w:tc>
          <w:tcPr>
            <w:tcW w:w="1478" w:type="pct"/>
            <w:gridSpan w:val="4"/>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教育行政與管理類</w:t>
            </w:r>
          </w:p>
        </w:tc>
        <w:tc>
          <w:tcPr>
            <w:tcW w:w="1736" w:type="pct"/>
            <w:gridSpan w:val="3"/>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課程與教學類</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西洋教育思想專題研究</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學校經營與發展專題研究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課程發展理論與實際專題研究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lastRenderedPageBreak/>
              <w:t>中國教育思想專題研究分</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教育行政學專題研究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創新教學專題研究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歐洲大陸教育哲學專題研究</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學校效能專題研究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教學評鑑理論與實際專題研究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2學分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教育人類學專題研究</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教育政策專題研究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教學心理學專題研究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道德教育專題研究</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2學分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教育組織與行為專題研究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閱讀與寫作歷程專題研究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教師社會學專題研究</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人力資源管理與發展專題研究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教學科技與媒體專題研究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比較教育理論研究</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2學分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學校行銷專題研究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2學分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少數民族教育專題研究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外國教育專題研究</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教育領導專題研究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多元文化教育專題研究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教師專業地位與事業發展</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教育經濟學專題研究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資訊教育教育專題研究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2學分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教育階層化專題研究</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學校公共闗係專題研究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環境教育教育專題研究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2學分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問卷調查專題研究</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教育統計解析專題研究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2學分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 xml:space="preserve">性別教育專題研究  </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2學分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諮商理論與應用</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教育政策分析</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生涯發展教育專題研究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日本教育專題研究</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2學分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教育管理理論研究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教科書專題研究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網路心理學研究</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教育行政研究</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教育改革專題研究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2學分</w:t>
            </w:r>
          </w:p>
        </w:tc>
      </w:tr>
      <w:tr w:rsidR="00A85FF5" w:rsidRPr="00A85FF5" w:rsidTr="001B6B96">
        <w:trPr>
          <w:cantSplit/>
          <w:trHeight w:val="379"/>
          <w:jc w:val="center"/>
        </w:trPr>
        <w:tc>
          <w:tcPr>
            <w:tcW w:w="1416"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論文寫作</w:t>
            </w:r>
          </w:p>
        </w:tc>
        <w:tc>
          <w:tcPr>
            <w:tcW w:w="370"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教育管理與實務</w:t>
            </w:r>
          </w:p>
        </w:tc>
        <w:tc>
          <w:tcPr>
            <w:tcW w:w="370"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c>
          <w:tcPr>
            <w:tcW w:w="1293" w:type="pct"/>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教育評鑑專題研究</w:t>
            </w:r>
          </w:p>
        </w:tc>
        <w:tc>
          <w:tcPr>
            <w:tcW w:w="443" w:type="pc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3學分</w:t>
            </w:r>
          </w:p>
        </w:tc>
      </w:tr>
      <w:tr w:rsidR="00A85FF5" w:rsidRPr="00A85FF5" w:rsidTr="001B6B96">
        <w:trPr>
          <w:cantSplit/>
          <w:trHeight w:val="40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共同領域課程（碩博士共同選修課程）</w:t>
            </w:r>
          </w:p>
        </w:tc>
      </w:tr>
      <w:tr w:rsidR="00A85FF5" w:rsidRPr="00A85FF5" w:rsidTr="001B6B96">
        <w:trPr>
          <w:cantSplit/>
          <w:trHeight w:val="260"/>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pacing w:line="240" w:lineRule="atLeast"/>
              <w:ind w:left="232" w:hangingChars="129" w:hanging="232"/>
              <w:jc w:val="both"/>
              <w:rPr>
                <w:rFonts w:ascii="標楷體" w:eastAsia="標楷體" w:hAnsi="標楷體"/>
                <w:kern w:val="0"/>
                <w:sz w:val="18"/>
                <w:szCs w:val="18"/>
              </w:rPr>
            </w:pPr>
            <w:r w:rsidRPr="00A85FF5">
              <w:rPr>
                <w:rFonts w:ascii="標楷體" w:eastAsia="標楷體" w:hAnsi="標楷體" w:hint="eastAsia"/>
                <w:kern w:val="0"/>
                <w:sz w:val="18"/>
                <w:szCs w:val="18"/>
              </w:rPr>
              <w:t>自由選修</w:t>
            </w:r>
          </w:p>
        </w:tc>
      </w:tr>
    </w:tbl>
    <w:p w:rsidR="00790AC2" w:rsidRPr="00A85FF5" w:rsidRDefault="00790AC2" w:rsidP="00790AC2">
      <w:pPr>
        <w:spacing w:line="240" w:lineRule="atLeast"/>
        <w:ind w:left="284" w:hangingChars="129" w:hanging="284"/>
        <w:jc w:val="both"/>
        <w:rPr>
          <w:rFonts w:ascii="標楷體" w:eastAsia="標楷體" w:hAnsi="標楷體" w:cs="Times New Roman"/>
          <w:sz w:val="22"/>
          <w:szCs w:val="20"/>
        </w:rPr>
      </w:pPr>
      <w:r w:rsidRPr="00A85FF5">
        <w:rPr>
          <w:rFonts w:ascii="標楷體" w:eastAsia="標楷體" w:hAnsi="標楷體" w:hint="eastAsia"/>
          <w:sz w:val="22"/>
          <w:szCs w:val="20"/>
        </w:rPr>
        <w:t>※選課須知：</w:t>
      </w:r>
    </w:p>
    <w:p w:rsidR="00790AC2" w:rsidRPr="00A85FF5" w:rsidRDefault="00790AC2" w:rsidP="00790AC2">
      <w:pPr>
        <w:spacing w:line="240" w:lineRule="atLeast"/>
        <w:ind w:left="284" w:hangingChars="129" w:hanging="284"/>
        <w:jc w:val="both"/>
        <w:rPr>
          <w:rFonts w:ascii="標楷體" w:eastAsia="標楷體" w:hAnsi="標楷體"/>
          <w:sz w:val="22"/>
          <w:szCs w:val="20"/>
        </w:rPr>
      </w:pPr>
      <w:r w:rsidRPr="00A85FF5">
        <w:rPr>
          <w:rFonts w:ascii="標楷體" w:eastAsia="標楷體" w:hAnsi="標楷體" w:hint="eastAsia"/>
          <w:sz w:val="22"/>
          <w:szCs w:val="20"/>
        </w:rPr>
        <w:t>1. 同等學力或非教育類科系所碩士班畢業者，須依規定補修碩士班教育基礎學科至少8學分（含必修4學分）。惟入學前已修畢國民中、小學教育、幼稚教育及特殊教育學程者，得減免4學分。</w:t>
      </w:r>
    </w:p>
    <w:p w:rsidR="00790AC2" w:rsidRPr="00A85FF5" w:rsidRDefault="00790AC2" w:rsidP="00790AC2">
      <w:pPr>
        <w:spacing w:line="240" w:lineRule="atLeast"/>
        <w:ind w:left="284" w:hangingChars="129" w:hanging="284"/>
        <w:jc w:val="both"/>
        <w:rPr>
          <w:rFonts w:ascii="標楷體" w:eastAsia="標楷體" w:hAnsi="標楷體"/>
          <w:sz w:val="22"/>
          <w:szCs w:val="20"/>
        </w:rPr>
      </w:pPr>
      <w:r w:rsidRPr="00A85FF5">
        <w:rPr>
          <w:rFonts w:ascii="標楷體" w:eastAsia="標楷體" w:hAnsi="標楷體" w:hint="eastAsia"/>
          <w:sz w:val="22"/>
          <w:szCs w:val="20"/>
        </w:rPr>
        <w:t>2. 博士班研究生得至其他大學校院相關系所選修層級相同之課程，唯選修之課程以當學期本校未開課者為原則且須經指導教授同意及主任核可，每學期以選修一科為限，其跨校選課之科目與總學分數上限</w:t>
      </w:r>
      <w:bookmarkStart w:id="1" w:name="_GoBack"/>
      <w:bookmarkEnd w:id="1"/>
      <w:r w:rsidRPr="00A85FF5">
        <w:rPr>
          <w:rFonts w:ascii="標楷體" w:eastAsia="標楷體" w:hAnsi="標楷體" w:hint="eastAsia"/>
          <w:sz w:val="22"/>
          <w:szCs w:val="20"/>
        </w:rPr>
        <w:t>為兩科6學分。</w:t>
      </w:r>
    </w:p>
    <w:p w:rsidR="00790AC2" w:rsidRPr="00A85FF5" w:rsidRDefault="00790AC2" w:rsidP="00790AC2">
      <w:pPr>
        <w:spacing w:line="240" w:lineRule="atLeast"/>
        <w:ind w:left="284" w:hangingChars="129" w:hanging="284"/>
        <w:jc w:val="both"/>
        <w:rPr>
          <w:rFonts w:ascii="標楷體" w:eastAsia="標楷體" w:hAnsi="標楷體"/>
          <w:sz w:val="22"/>
          <w:szCs w:val="20"/>
        </w:rPr>
      </w:pPr>
      <w:r w:rsidRPr="00A85FF5">
        <w:rPr>
          <w:rFonts w:ascii="標楷體" w:eastAsia="標楷體" w:hAnsi="標楷體" w:hint="eastAsia"/>
          <w:sz w:val="22"/>
          <w:szCs w:val="20"/>
        </w:rPr>
        <w:t>3. 博士班研究生未修畢本系規定畢業學分數者，每學期選修學分之上下限為全時生1~10學分、在職生1~7學分。第二學年開始選修「專題討論（一）、專題討論（二）、專題討論（三）、專題討論（四）」。</w:t>
      </w:r>
    </w:p>
    <w:p w:rsidR="00790AC2" w:rsidRPr="00A85FF5" w:rsidRDefault="00790AC2" w:rsidP="00790AC2">
      <w:pPr>
        <w:spacing w:line="240" w:lineRule="atLeast"/>
        <w:ind w:left="284" w:hangingChars="129" w:hanging="284"/>
        <w:jc w:val="both"/>
        <w:rPr>
          <w:rFonts w:ascii="標楷體" w:eastAsia="標楷體" w:hAnsi="標楷體"/>
          <w:sz w:val="22"/>
          <w:szCs w:val="20"/>
        </w:rPr>
      </w:pPr>
      <w:r w:rsidRPr="00A85FF5">
        <w:rPr>
          <w:rFonts w:ascii="標楷體" w:eastAsia="標楷體" w:hAnsi="標楷體" w:hint="eastAsia"/>
          <w:sz w:val="22"/>
          <w:szCs w:val="20"/>
        </w:rPr>
        <w:t>4. 博士班研究生修業年限以三至七年為限。</w:t>
      </w:r>
    </w:p>
    <w:p w:rsidR="00790AC2" w:rsidRPr="00A85FF5" w:rsidRDefault="00790AC2" w:rsidP="00790AC2">
      <w:pPr>
        <w:spacing w:line="240" w:lineRule="atLeast"/>
        <w:ind w:left="310" w:hangingChars="129" w:hanging="310"/>
        <w:jc w:val="both"/>
        <w:rPr>
          <w:rFonts w:ascii="標楷體" w:eastAsia="標楷體" w:hAnsi="標楷體"/>
          <w:sz w:val="22"/>
          <w:szCs w:val="24"/>
        </w:rPr>
      </w:pPr>
      <w:r w:rsidRPr="00A85FF5">
        <w:rPr>
          <w:rFonts w:ascii="標楷體" w:eastAsia="標楷體" w:hAnsi="標楷體" w:hint="eastAsia"/>
        </w:rPr>
        <w:t>5.</w:t>
      </w:r>
      <w:r w:rsidRPr="00A85FF5">
        <w:rPr>
          <w:rFonts w:ascii="標楷體" w:eastAsia="標楷體" w:hAnsi="標楷體" w:hint="eastAsia"/>
          <w:sz w:val="22"/>
        </w:rPr>
        <w:t xml:space="preserve"> 學術研究倫理教育課程為必修0學分，學生須於臺灣學術倫理教育推廣資源中心之網路教學平台自行觀看，並通過線上課程測驗合格；未通過者，須於辦理離校手續前補修完成。</w:t>
      </w:r>
    </w:p>
    <w:p w:rsidR="00790AC2" w:rsidRPr="00A85FF5" w:rsidRDefault="00790AC2" w:rsidP="00790AC2">
      <w:pPr>
        <w:spacing w:line="240" w:lineRule="atLeast"/>
        <w:ind w:left="310" w:hangingChars="129" w:hanging="310"/>
        <w:jc w:val="both"/>
        <w:rPr>
          <w:rFonts w:ascii="標楷體" w:eastAsia="標楷體" w:hAnsi="標楷體"/>
        </w:rPr>
      </w:pPr>
    </w:p>
    <w:p w:rsidR="00790AC2" w:rsidRPr="00A85FF5" w:rsidRDefault="00790AC2" w:rsidP="00790AC2">
      <w:pPr>
        <w:widowControl/>
        <w:rPr>
          <w:rFonts w:ascii="標楷體" w:eastAsia="標楷體" w:hAnsi="標楷體"/>
          <w:b/>
          <w:spacing w:val="140"/>
          <w:kern w:val="0"/>
          <w:lang w:val="zh-TW"/>
        </w:rPr>
      </w:pPr>
      <w:r w:rsidRPr="00A85FF5">
        <w:rPr>
          <w:rFonts w:ascii="標楷體" w:eastAsia="標楷體" w:hAnsi="標楷體"/>
          <w:b/>
          <w:spacing w:val="140"/>
          <w:kern w:val="0"/>
          <w:lang w:val="zh-TW"/>
        </w:rPr>
        <w:br w:type="page"/>
      </w:r>
    </w:p>
    <w:p w:rsidR="00790AC2" w:rsidRPr="00A85FF5" w:rsidRDefault="00790AC2" w:rsidP="00790AC2">
      <w:pPr>
        <w:jc w:val="center"/>
        <w:rPr>
          <w:rFonts w:ascii="標楷體" w:eastAsia="標楷體" w:hAnsi="標楷體"/>
          <w:b/>
          <w:spacing w:val="120"/>
          <w:lang w:val="zh-TW"/>
        </w:rPr>
      </w:pPr>
      <w:r w:rsidRPr="00A85FF5">
        <w:rPr>
          <w:rFonts w:ascii="標楷體" w:eastAsia="標楷體" w:hAnsi="標楷體" w:hint="eastAsia"/>
          <w:b/>
          <w:spacing w:val="140"/>
          <w:kern w:val="0"/>
          <w:fitText w:val="5443" w:id="924503041"/>
          <w:lang w:val="zh-TW"/>
        </w:rPr>
        <w:lastRenderedPageBreak/>
        <w:t>教育研究博士班課程架</w:t>
      </w:r>
      <w:r w:rsidRPr="00A85FF5">
        <w:rPr>
          <w:rFonts w:ascii="標楷體" w:eastAsia="標楷體" w:hAnsi="標楷體" w:hint="eastAsia"/>
          <w:b/>
          <w:kern w:val="0"/>
          <w:fitText w:val="5443" w:id="924503041"/>
          <w:lang w:val="zh-TW"/>
        </w:rPr>
        <w:t>構</w:t>
      </w:r>
    </w:p>
    <w:tbl>
      <w:tblPr>
        <w:tblW w:w="11130"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552"/>
        <w:gridCol w:w="532"/>
        <w:gridCol w:w="2063"/>
        <w:gridCol w:w="1133"/>
        <w:gridCol w:w="1702"/>
        <w:gridCol w:w="302"/>
        <w:gridCol w:w="7"/>
        <w:gridCol w:w="372"/>
        <w:gridCol w:w="7"/>
        <w:gridCol w:w="372"/>
        <w:gridCol w:w="7"/>
        <w:gridCol w:w="3646"/>
      </w:tblGrid>
      <w:tr w:rsidR="00A85FF5" w:rsidRPr="00A85FF5" w:rsidTr="001B6B96">
        <w:trPr>
          <w:trHeight w:val="189"/>
          <w:tblHeader/>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類別</w:t>
            </w:r>
          </w:p>
        </w:tc>
        <w:tc>
          <w:tcPr>
            <w:tcW w:w="55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學分數</w:t>
            </w:r>
          </w:p>
        </w:tc>
        <w:tc>
          <w:tcPr>
            <w:tcW w:w="3727" w:type="dxa"/>
            <w:gridSpan w:val="3"/>
            <w:tcBorders>
              <w:top w:val="single" w:sz="4" w:space="0" w:color="auto"/>
              <w:left w:val="single" w:sz="4" w:space="0" w:color="auto"/>
              <w:bottom w:val="doub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科目中文名稱</w:t>
            </w:r>
          </w:p>
        </w:tc>
        <w:tc>
          <w:tcPr>
            <w:tcW w:w="1701" w:type="dxa"/>
            <w:tcBorders>
              <w:top w:val="single" w:sz="4" w:space="0" w:color="auto"/>
              <w:left w:val="single" w:sz="4" w:space="0" w:color="auto"/>
              <w:bottom w:val="doub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科目代碼</w:t>
            </w:r>
          </w:p>
        </w:tc>
        <w:tc>
          <w:tcPr>
            <w:tcW w:w="309" w:type="dxa"/>
            <w:gridSpan w:val="2"/>
            <w:tcBorders>
              <w:top w:val="single" w:sz="4" w:space="0" w:color="auto"/>
              <w:left w:val="single" w:sz="4" w:space="0" w:color="auto"/>
              <w:bottom w:val="doub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必選修</w:t>
            </w:r>
          </w:p>
        </w:tc>
        <w:tc>
          <w:tcPr>
            <w:tcW w:w="379" w:type="dxa"/>
            <w:gridSpan w:val="2"/>
            <w:tcBorders>
              <w:top w:val="single" w:sz="4" w:space="0" w:color="auto"/>
              <w:left w:val="single" w:sz="4" w:space="0" w:color="auto"/>
              <w:bottom w:val="doub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學分</w:t>
            </w:r>
          </w:p>
        </w:tc>
        <w:tc>
          <w:tcPr>
            <w:tcW w:w="379" w:type="dxa"/>
            <w:gridSpan w:val="2"/>
            <w:tcBorders>
              <w:top w:val="single" w:sz="4" w:space="0" w:color="auto"/>
              <w:left w:val="single" w:sz="4" w:space="0" w:color="auto"/>
              <w:bottom w:val="doub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時</w:t>
            </w:r>
          </w:p>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數</w:t>
            </w:r>
          </w:p>
        </w:tc>
        <w:tc>
          <w:tcPr>
            <w:tcW w:w="3645" w:type="dxa"/>
            <w:tcBorders>
              <w:top w:val="single" w:sz="4" w:space="0" w:color="auto"/>
              <w:left w:val="single" w:sz="4" w:space="0" w:color="auto"/>
              <w:bottom w:val="doub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科目英文名稱</w:t>
            </w:r>
          </w:p>
        </w:tc>
      </w:tr>
      <w:tr w:rsidR="00A85FF5" w:rsidRPr="00A85FF5" w:rsidTr="001B6B96">
        <w:trPr>
          <w:trHeight w:val="160"/>
          <w:jc w:val="center"/>
        </w:trPr>
        <w:tc>
          <w:tcPr>
            <w:tcW w:w="434" w:type="dxa"/>
            <w:vMerge w:val="restart"/>
            <w:tcBorders>
              <w:top w:val="double" w:sz="4" w:space="0" w:color="auto"/>
              <w:left w:val="single" w:sz="4" w:space="0" w:color="auto"/>
              <w:bottom w:val="single" w:sz="4" w:space="0" w:color="auto"/>
              <w:right w:val="single" w:sz="4" w:space="0" w:color="auto"/>
            </w:tcBorders>
            <w:textDirection w:val="tbRlV"/>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必 選 領 域 課 程</w:t>
            </w:r>
          </w:p>
        </w:tc>
        <w:tc>
          <w:tcPr>
            <w:tcW w:w="552" w:type="dxa"/>
            <w:vMerge w:val="restart"/>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至少10學分</w:t>
            </w:r>
          </w:p>
        </w:tc>
        <w:tc>
          <w:tcPr>
            <w:tcW w:w="3727" w:type="dxa"/>
            <w:gridSpan w:val="3"/>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教育研究方法論</w:t>
            </w:r>
          </w:p>
        </w:tc>
        <w:tc>
          <w:tcPr>
            <w:tcW w:w="1701" w:type="dxa"/>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EED31D00B001</w:t>
            </w:r>
          </w:p>
        </w:tc>
        <w:tc>
          <w:tcPr>
            <w:tcW w:w="309" w:type="dxa"/>
            <w:gridSpan w:val="2"/>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必</w:t>
            </w:r>
          </w:p>
        </w:tc>
        <w:tc>
          <w:tcPr>
            <w:tcW w:w="379" w:type="dxa"/>
            <w:gridSpan w:val="2"/>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Methodology of Educational Research</w:t>
            </w:r>
          </w:p>
        </w:tc>
      </w:tr>
      <w:tr w:rsidR="00A85FF5" w:rsidRPr="00A85FF5" w:rsidTr="001B6B96">
        <w:trPr>
          <w:trHeight w:val="160"/>
          <w:jc w:val="center"/>
        </w:trPr>
        <w:tc>
          <w:tcPr>
            <w:tcW w:w="434"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專題討論（一）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EED31D00B002</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必</w:t>
            </w:r>
          </w:p>
        </w:tc>
        <w:tc>
          <w:tcPr>
            <w:tcW w:w="3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1</w:t>
            </w:r>
          </w:p>
        </w:tc>
        <w:tc>
          <w:tcPr>
            <w:tcW w:w="3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1</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Seminar in Educational Studies ( I )</w:t>
            </w:r>
          </w:p>
        </w:tc>
      </w:tr>
      <w:tr w:rsidR="00A85FF5" w:rsidRPr="00A85FF5" w:rsidTr="001B6B96">
        <w:trPr>
          <w:trHeight w:val="160"/>
          <w:jc w:val="center"/>
        </w:trPr>
        <w:tc>
          <w:tcPr>
            <w:tcW w:w="434"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專題討論（二）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EED31D00B003</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必</w:t>
            </w:r>
          </w:p>
        </w:tc>
        <w:tc>
          <w:tcPr>
            <w:tcW w:w="3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1</w:t>
            </w:r>
          </w:p>
        </w:tc>
        <w:tc>
          <w:tcPr>
            <w:tcW w:w="3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1</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Seminar in Educational Studies ( II )</w:t>
            </w:r>
          </w:p>
        </w:tc>
      </w:tr>
      <w:tr w:rsidR="00A85FF5" w:rsidRPr="00A85FF5" w:rsidTr="001B6B96">
        <w:trPr>
          <w:trHeight w:val="160"/>
          <w:jc w:val="center"/>
        </w:trPr>
        <w:tc>
          <w:tcPr>
            <w:tcW w:w="434"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專題討論（三）</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EED31D00B004</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必</w:t>
            </w:r>
          </w:p>
        </w:tc>
        <w:tc>
          <w:tcPr>
            <w:tcW w:w="3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1</w:t>
            </w:r>
          </w:p>
        </w:tc>
        <w:tc>
          <w:tcPr>
            <w:tcW w:w="3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1</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Seminar in Educational Studies ( III )</w:t>
            </w:r>
          </w:p>
        </w:tc>
      </w:tr>
      <w:tr w:rsidR="00A85FF5" w:rsidRPr="00A85FF5" w:rsidTr="001B6B96">
        <w:trPr>
          <w:trHeight w:val="160"/>
          <w:jc w:val="center"/>
        </w:trPr>
        <w:tc>
          <w:tcPr>
            <w:tcW w:w="434"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專題討論（四）</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EED31D00B005</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必</w:t>
            </w:r>
          </w:p>
        </w:tc>
        <w:tc>
          <w:tcPr>
            <w:tcW w:w="3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1</w:t>
            </w:r>
          </w:p>
        </w:tc>
        <w:tc>
          <w:tcPr>
            <w:tcW w:w="37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1</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Seminar in Educational Studies ( IV )</w:t>
            </w:r>
          </w:p>
        </w:tc>
      </w:tr>
      <w:tr w:rsidR="00A85FF5" w:rsidRPr="00A85FF5" w:rsidTr="001B6B96">
        <w:trPr>
          <w:trHeight w:val="160"/>
          <w:jc w:val="center"/>
        </w:trPr>
        <w:tc>
          <w:tcPr>
            <w:tcW w:w="434"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2594"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量化研究方法</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四選一</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EED33D00B001</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Quantitative Research Methods</w:t>
            </w:r>
          </w:p>
        </w:tc>
      </w:tr>
      <w:tr w:rsidR="00A85FF5" w:rsidRPr="00A85FF5" w:rsidTr="001B6B96">
        <w:trPr>
          <w:trHeight w:val="107"/>
          <w:jc w:val="center"/>
        </w:trPr>
        <w:tc>
          <w:tcPr>
            <w:tcW w:w="434"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2594"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高等教育統計學</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EED33D00B002</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Advanced Statistics in Education</w:t>
            </w:r>
          </w:p>
        </w:tc>
      </w:tr>
      <w:tr w:rsidR="00A85FF5" w:rsidRPr="00A85FF5" w:rsidTr="001B6B96">
        <w:trPr>
          <w:trHeight w:val="160"/>
          <w:jc w:val="center"/>
        </w:trPr>
        <w:tc>
          <w:tcPr>
            <w:tcW w:w="434"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2594"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質化研究方法</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EED33D00B003</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Qualitative Research Methods</w:t>
            </w:r>
          </w:p>
        </w:tc>
      </w:tr>
      <w:tr w:rsidR="00A85FF5" w:rsidRPr="00A85FF5" w:rsidTr="001B6B96">
        <w:trPr>
          <w:trHeight w:val="160"/>
          <w:jc w:val="center"/>
        </w:trPr>
        <w:tc>
          <w:tcPr>
            <w:tcW w:w="434"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doub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2594"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內容分析法</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EED33D00B004</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Content Analysis</w:t>
            </w:r>
          </w:p>
        </w:tc>
      </w:tr>
      <w:tr w:rsidR="00A85FF5" w:rsidRPr="00A85FF5" w:rsidTr="001B6B96">
        <w:trPr>
          <w:trHeight w:val="383"/>
          <w:jc w:val="center"/>
        </w:trPr>
        <w:tc>
          <w:tcPr>
            <w:tcW w:w="434" w:type="dxa"/>
            <w:vMerge w:val="restart"/>
            <w:tcBorders>
              <w:top w:val="single" w:sz="18" w:space="0" w:color="auto"/>
              <w:left w:val="single" w:sz="4" w:space="0" w:color="auto"/>
              <w:bottom w:val="single" w:sz="4" w:space="0" w:color="auto"/>
              <w:right w:val="single" w:sz="4" w:space="0" w:color="auto"/>
            </w:tcBorders>
            <w:vAlign w:val="center"/>
          </w:tcPr>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專門領域選修課程</w:t>
            </w: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tc>
        <w:tc>
          <w:tcPr>
            <w:tcW w:w="552" w:type="dxa"/>
            <w:vMerge w:val="restart"/>
            <w:tcBorders>
              <w:top w:val="single" w:sz="18" w:space="0" w:color="auto"/>
              <w:left w:val="single" w:sz="4" w:space="0" w:color="auto"/>
              <w:bottom w:val="single" w:sz="4" w:space="0" w:color="auto"/>
              <w:right w:val="single" w:sz="4" w:space="0" w:color="auto"/>
            </w:tcBorders>
            <w:vAlign w:val="center"/>
          </w:tcPr>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教育理論類</w:t>
            </w:r>
          </w:p>
        </w:tc>
        <w:tc>
          <w:tcPr>
            <w:tcW w:w="532" w:type="dxa"/>
            <w:vMerge w:val="restart"/>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至少8學分</w:t>
            </w:r>
          </w:p>
        </w:tc>
        <w:tc>
          <w:tcPr>
            <w:tcW w:w="3195" w:type="dxa"/>
            <w:gridSpan w:val="2"/>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西洋教育思想專題研究</w:t>
            </w:r>
          </w:p>
        </w:tc>
        <w:tc>
          <w:tcPr>
            <w:tcW w:w="1701" w:type="dxa"/>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EED32D00C001</w:t>
            </w:r>
          </w:p>
        </w:tc>
        <w:tc>
          <w:tcPr>
            <w:tcW w:w="309" w:type="dxa"/>
            <w:gridSpan w:val="2"/>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Western Educational Thoughts</w:t>
            </w:r>
          </w:p>
        </w:tc>
      </w:tr>
      <w:tr w:rsidR="00A85FF5" w:rsidRPr="00A85FF5" w:rsidTr="001B6B96">
        <w:trPr>
          <w:trHeight w:val="226"/>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中國教育思想專題研究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EED32D00C002</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Chinese Educational Thoughts</w:t>
            </w:r>
          </w:p>
        </w:tc>
      </w:tr>
      <w:tr w:rsidR="00A85FF5" w:rsidRPr="00A85FF5" w:rsidTr="001B6B96">
        <w:trPr>
          <w:trHeight w:val="226"/>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歐洲大陸教育哲學專題研究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EED32D00C003</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Philosophy of European Continent Education</w:t>
            </w:r>
          </w:p>
        </w:tc>
      </w:tr>
      <w:tr w:rsidR="00A85FF5" w:rsidRPr="00A85FF5" w:rsidTr="001B6B96">
        <w:trPr>
          <w:trHeight w:val="226"/>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教育人類學專題研究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EED32D00C004</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Anthropology of Education</w:t>
            </w:r>
          </w:p>
        </w:tc>
      </w:tr>
      <w:tr w:rsidR="00A85FF5" w:rsidRPr="00A85FF5" w:rsidTr="001B6B96">
        <w:trPr>
          <w:trHeight w:val="226"/>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道德教育專題研究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EED32D00C005</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Seminar in Moral Education</w:t>
            </w:r>
          </w:p>
        </w:tc>
      </w:tr>
      <w:tr w:rsidR="00A85FF5" w:rsidRPr="00A85FF5" w:rsidTr="001B6B96">
        <w:trPr>
          <w:trHeight w:val="36"/>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教師社會學專題研究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EED32D00C006</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the Sociology of Teachers</w:t>
            </w:r>
          </w:p>
        </w:tc>
      </w:tr>
      <w:tr w:rsidR="00A85FF5" w:rsidRPr="00A85FF5" w:rsidTr="001B6B96">
        <w:trPr>
          <w:trHeight w:val="36"/>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比較教育理論研究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EED32D00C007</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Studies in the Theories of Comparative Education</w:t>
            </w:r>
          </w:p>
        </w:tc>
      </w:tr>
      <w:tr w:rsidR="00A85FF5" w:rsidRPr="00A85FF5" w:rsidTr="001B6B96">
        <w:trPr>
          <w:trHeight w:val="176"/>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外國教育專題研究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EED32D00C008</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Foreign Education</w:t>
            </w:r>
          </w:p>
        </w:tc>
      </w:tr>
      <w:tr w:rsidR="00A85FF5" w:rsidRPr="00A85FF5" w:rsidTr="001B6B96">
        <w:trPr>
          <w:trHeight w:val="114"/>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教師專業地位與事業發展</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EED32D00C009</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Teacher Professional Status and Enterprise Development</w:t>
            </w:r>
          </w:p>
        </w:tc>
      </w:tr>
      <w:tr w:rsidR="00A85FF5" w:rsidRPr="00A85FF5" w:rsidTr="001B6B96">
        <w:trPr>
          <w:trHeight w:val="227"/>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教育階層化專題研究</w:t>
            </w:r>
          </w:p>
        </w:tc>
        <w:tc>
          <w:tcPr>
            <w:tcW w:w="1701" w:type="dxa"/>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EED32D00C010</w:t>
            </w:r>
          </w:p>
        </w:tc>
        <w:tc>
          <w:tcPr>
            <w:tcW w:w="30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Educational Stratification</w:t>
            </w:r>
          </w:p>
        </w:tc>
      </w:tr>
      <w:tr w:rsidR="00A85FF5" w:rsidRPr="00A85FF5" w:rsidTr="001B6B96">
        <w:trPr>
          <w:trHeight w:val="227"/>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問卷調查專題研究</w:t>
            </w:r>
          </w:p>
        </w:tc>
        <w:tc>
          <w:tcPr>
            <w:tcW w:w="1701" w:type="dxa"/>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EED32D00C011</w:t>
            </w:r>
          </w:p>
        </w:tc>
        <w:tc>
          <w:tcPr>
            <w:tcW w:w="30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Questionnaire Survey</w:t>
            </w:r>
          </w:p>
        </w:tc>
      </w:tr>
      <w:tr w:rsidR="00A85FF5" w:rsidRPr="00A85FF5" w:rsidTr="001B6B96">
        <w:trPr>
          <w:trHeight w:val="227"/>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諮商理論與應用</w:t>
            </w:r>
          </w:p>
        </w:tc>
        <w:tc>
          <w:tcPr>
            <w:tcW w:w="1701" w:type="dxa"/>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EED32D00C012</w:t>
            </w:r>
          </w:p>
        </w:tc>
        <w:tc>
          <w:tcPr>
            <w:tcW w:w="30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Theory &amp; Application of Counseling</w:t>
            </w:r>
          </w:p>
        </w:tc>
      </w:tr>
      <w:tr w:rsidR="00A85FF5" w:rsidRPr="00A85FF5" w:rsidTr="001B6B96">
        <w:trPr>
          <w:trHeight w:val="227"/>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日本教育專題研究</w:t>
            </w:r>
          </w:p>
        </w:tc>
        <w:tc>
          <w:tcPr>
            <w:tcW w:w="1701" w:type="dxa"/>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EED32D00C013</w:t>
            </w:r>
          </w:p>
        </w:tc>
        <w:tc>
          <w:tcPr>
            <w:tcW w:w="30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7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645" w:type="dxa"/>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Seminar of Japanese Educational Research</w:t>
            </w:r>
          </w:p>
        </w:tc>
      </w:tr>
      <w:tr w:rsidR="00A85FF5" w:rsidRPr="00A85FF5" w:rsidTr="001B6B96">
        <w:trPr>
          <w:trHeight w:val="227"/>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網路心理學研究</w:t>
            </w:r>
          </w:p>
        </w:tc>
        <w:tc>
          <w:tcPr>
            <w:tcW w:w="1701" w:type="dxa"/>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EED32D00C014</w:t>
            </w:r>
          </w:p>
        </w:tc>
        <w:tc>
          <w:tcPr>
            <w:tcW w:w="30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Psychology of Cyberspace</w:t>
            </w:r>
          </w:p>
        </w:tc>
      </w:tr>
      <w:tr w:rsidR="00A85FF5" w:rsidRPr="00A85FF5" w:rsidTr="001B6B96">
        <w:trPr>
          <w:trHeight w:val="227"/>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論文寫作</w:t>
            </w:r>
          </w:p>
        </w:tc>
        <w:tc>
          <w:tcPr>
            <w:tcW w:w="1701" w:type="dxa"/>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EED32D00C015</w:t>
            </w:r>
          </w:p>
        </w:tc>
        <w:tc>
          <w:tcPr>
            <w:tcW w:w="30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2"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Thesis Writing</w:t>
            </w:r>
          </w:p>
        </w:tc>
      </w:tr>
      <w:tr w:rsidR="00A85FF5" w:rsidRPr="00A85FF5" w:rsidTr="001B6B96">
        <w:trPr>
          <w:trHeight w:val="222"/>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val="restart"/>
            <w:tcBorders>
              <w:top w:val="single" w:sz="18" w:space="0" w:color="auto"/>
              <w:left w:val="single" w:sz="4" w:space="0" w:color="auto"/>
              <w:bottom w:val="single" w:sz="18" w:space="0" w:color="auto"/>
              <w:right w:val="single" w:sz="4" w:space="0" w:color="auto"/>
            </w:tcBorders>
          </w:tcPr>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教育行政與管理類</w:t>
            </w: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學校經營與發展專題研究</w:t>
            </w:r>
          </w:p>
        </w:tc>
        <w:tc>
          <w:tcPr>
            <w:tcW w:w="1701" w:type="dxa"/>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EED32D00D001</w:t>
            </w:r>
          </w:p>
        </w:tc>
        <w:tc>
          <w:tcPr>
            <w:tcW w:w="309" w:type="dxa"/>
            <w:gridSpan w:val="2"/>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School Management and Development</w:t>
            </w:r>
          </w:p>
        </w:tc>
      </w:tr>
      <w:tr w:rsidR="00A85FF5" w:rsidRPr="00A85FF5" w:rsidTr="001B6B96">
        <w:trPr>
          <w:trHeight w:val="36"/>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教育行政學專題研究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EED32D00D002</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Educational Administration</w:t>
            </w:r>
          </w:p>
        </w:tc>
      </w:tr>
      <w:tr w:rsidR="00A85FF5" w:rsidRPr="00A85FF5" w:rsidTr="001B6B96">
        <w:trPr>
          <w:trHeight w:val="155"/>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學校效能專題研究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EED32D00D003</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School Effectiveness</w:t>
            </w:r>
          </w:p>
        </w:tc>
      </w:tr>
      <w:tr w:rsidR="00A85FF5" w:rsidRPr="00A85FF5" w:rsidTr="001B6B96">
        <w:trPr>
          <w:trHeight w:val="36"/>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教育政策專題研究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EED32D00D004</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Educational Policies</w:t>
            </w:r>
          </w:p>
        </w:tc>
      </w:tr>
      <w:tr w:rsidR="00A85FF5" w:rsidRPr="00A85FF5" w:rsidTr="001B6B96">
        <w:trPr>
          <w:trHeight w:val="36"/>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教育組織與行為專題研究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EED32D00D005</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the Organizations and Organizational Behavior in Education</w:t>
            </w:r>
          </w:p>
        </w:tc>
      </w:tr>
      <w:tr w:rsidR="00A85FF5" w:rsidRPr="00A85FF5" w:rsidTr="001B6B96">
        <w:trPr>
          <w:trHeight w:val="22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人力資源管理與發展專題研究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EED32D00D006</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Human Resource Management and Development</w:t>
            </w:r>
          </w:p>
        </w:tc>
      </w:tr>
      <w:tr w:rsidR="00A85FF5" w:rsidRPr="00A85FF5" w:rsidTr="001B6B96">
        <w:trPr>
          <w:trHeight w:val="142"/>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學校行銷專題研究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EED32D00D007</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School Marketing</w:t>
            </w:r>
          </w:p>
        </w:tc>
      </w:tr>
      <w:tr w:rsidR="00A85FF5" w:rsidRPr="00A85FF5" w:rsidTr="001B6B96">
        <w:trPr>
          <w:trHeight w:val="21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教育領導專題研究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EED32D00D008</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Educational Leadership</w:t>
            </w:r>
          </w:p>
        </w:tc>
      </w:tr>
      <w:tr w:rsidR="00A85FF5" w:rsidRPr="00A85FF5" w:rsidTr="001B6B96">
        <w:trPr>
          <w:trHeight w:val="125"/>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教育經濟學專題研究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EED32D00D009</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the Economics of Education</w:t>
            </w:r>
          </w:p>
        </w:tc>
      </w:tr>
      <w:tr w:rsidR="00A85FF5" w:rsidRPr="00A85FF5" w:rsidTr="001B6B96">
        <w:trPr>
          <w:trHeight w:val="233"/>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學校公共關係專題研究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EED32D00D010</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School Public Relations</w:t>
            </w:r>
          </w:p>
        </w:tc>
      </w:tr>
      <w:tr w:rsidR="00A85FF5" w:rsidRPr="00A85FF5" w:rsidTr="001B6B96">
        <w:trPr>
          <w:trHeight w:val="191"/>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教育統計解析專題研究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EED32D00D011</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the Statistical Analysis of Education</w:t>
            </w:r>
          </w:p>
        </w:tc>
      </w:tr>
      <w:tr w:rsidR="00A85FF5" w:rsidRPr="00A85FF5" w:rsidTr="001B6B96">
        <w:trPr>
          <w:trHeight w:val="191"/>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教育政策分析</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EED32D00D012</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Educational Policy Analysis in Education</w:t>
            </w:r>
          </w:p>
        </w:tc>
      </w:tr>
      <w:tr w:rsidR="00A85FF5" w:rsidRPr="00A85FF5" w:rsidTr="001B6B96">
        <w:trPr>
          <w:trHeight w:val="191"/>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教育管理理論研究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EED32D00D013</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Educational Administration</w:t>
            </w:r>
          </w:p>
        </w:tc>
      </w:tr>
      <w:tr w:rsidR="00A85FF5" w:rsidRPr="00A85FF5" w:rsidTr="001B6B96">
        <w:trPr>
          <w:trHeight w:val="191"/>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教育行政研究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EED32D00D014</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Educational Administration</w:t>
            </w:r>
          </w:p>
        </w:tc>
      </w:tr>
      <w:tr w:rsidR="00A85FF5" w:rsidRPr="00A85FF5" w:rsidTr="001B6B96">
        <w:trPr>
          <w:trHeight w:val="191"/>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18"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教育管理與實務</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EED32D00D015</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45"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The Administration of Education and Practice</w:t>
            </w:r>
          </w:p>
        </w:tc>
      </w:tr>
      <w:tr w:rsidR="00A85FF5" w:rsidRPr="00A85FF5" w:rsidTr="001B6B96">
        <w:trPr>
          <w:trHeight w:val="292"/>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val="restart"/>
            <w:tcBorders>
              <w:top w:val="single" w:sz="18" w:space="0" w:color="auto"/>
              <w:left w:val="single" w:sz="4" w:space="0" w:color="auto"/>
              <w:bottom w:val="single" w:sz="4" w:space="0" w:color="auto"/>
              <w:right w:val="single" w:sz="4" w:space="0" w:color="auto"/>
            </w:tcBorders>
          </w:tcPr>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課程與教學類</w:t>
            </w: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p w:rsidR="00790AC2" w:rsidRPr="00A85FF5" w:rsidRDefault="00790AC2" w:rsidP="001B6B96">
            <w:pPr>
              <w:snapToGrid w:val="0"/>
              <w:spacing w:line="280" w:lineRule="exact"/>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課程發展理論與實際專題研究</w:t>
            </w:r>
          </w:p>
        </w:tc>
        <w:tc>
          <w:tcPr>
            <w:tcW w:w="1701" w:type="dxa"/>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EED32D00E001</w:t>
            </w:r>
          </w:p>
        </w:tc>
        <w:tc>
          <w:tcPr>
            <w:tcW w:w="302" w:type="dxa"/>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52" w:type="dxa"/>
            <w:gridSpan w:val="2"/>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Curriculum Development and Practice</w:t>
            </w:r>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創新教學專題研究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EED32D00E002</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Innovative Teaching</w:t>
            </w:r>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教學評鑑理論與實際專題研究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EED32D00E003</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Instructional Evaluation and Practice</w:t>
            </w:r>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教學心理學專題研究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EED32D00E004</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 xml:space="preserve">Topics in the Psychology of Teaching and Instruction </w:t>
            </w:r>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閱讀與寫作歷程專題研究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EED32D00E005</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the Processes of Reading and Writing</w:t>
            </w:r>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教學科技與媒體專題研究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EED32D00E006</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Instructional Technology and Media</w:t>
            </w:r>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少數民族教育專題研究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EED32D00E007</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the Education for the Ehtnic Minorities</w:t>
            </w:r>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多元文化教育研究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EED32D00E008</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Multicultural Education</w:t>
            </w:r>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資訊教育專題研究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EED32D00E009</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 xml:space="preserve">Topics in Information Technology </w:t>
            </w:r>
            <w:hyperlink r:id="rId5" w:anchor="1" w:history="1">
              <w:r w:rsidRPr="00A85FF5">
                <w:rPr>
                  <w:rFonts w:hint="eastAsia"/>
                  <w:kern w:val="0"/>
                  <w:sz w:val="18"/>
                  <w:szCs w:val="18"/>
                </w:rPr>
                <w:t>Education</w:t>
              </w:r>
            </w:hyperlink>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環境教育專題研究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EED32D00E010</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Environmental Education</w:t>
            </w:r>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性別教育專題研究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EED32D00E011</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Gender Equity Education</w:t>
            </w:r>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生涯發展教育專題研究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EED32D00E012</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Career Development Education</w:t>
            </w:r>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教科書專題研究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EED32D00E013</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Textbook</w:t>
            </w:r>
          </w:p>
        </w:tc>
      </w:tr>
      <w:tr w:rsidR="00A85FF5" w:rsidRPr="00A85FF5" w:rsidTr="001B6B96">
        <w:trPr>
          <w:trHeight w:val="50"/>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教育改革專題研究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EED32D00E014</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2</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Educational Reform</w:t>
            </w:r>
          </w:p>
        </w:tc>
      </w:tr>
      <w:tr w:rsidR="00A85FF5" w:rsidRPr="00A85FF5" w:rsidTr="001B6B96">
        <w:trPr>
          <w:trHeight w:val="188"/>
          <w:jc w:val="center"/>
        </w:trPr>
        <w:tc>
          <w:tcPr>
            <w:tcW w:w="434"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552"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727" w:type="dxa"/>
            <w:vMerge/>
            <w:tcBorders>
              <w:top w:val="single" w:sz="18" w:space="0" w:color="auto"/>
              <w:left w:val="single" w:sz="4" w:space="0" w:color="auto"/>
              <w:bottom w:val="single" w:sz="4" w:space="0" w:color="auto"/>
              <w:right w:val="single" w:sz="4" w:space="0" w:color="auto"/>
            </w:tcBorders>
            <w:vAlign w:val="center"/>
            <w:hideMark/>
          </w:tcPr>
          <w:p w:rsidR="00790AC2" w:rsidRPr="00A85FF5" w:rsidRDefault="00790AC2" w:rsidP="001B6B96">
            <w:pPr>
              <w:widowControl/>
              <w:rPr>
                <w:rFonts w:ascii="標楷體" w:eastAsia="標楷體" w:hAnsi="標楷體"/>
                <w:kern w:val="0"/>
                <w:sz w:val="18"/>
                <w:szCs w:val="18"/>
              </w:rPr>
            </w:pPr>
          </w:p>
        </w:tc>
        <w:tc>
          <w:tcPr>
            <w:tcW w:w="3195"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教育評鑑專題研究</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EED32D00E015</w:t>
            </w:r>
          </w:p>
        </w:tc>
        <w:tc>
          <w:tcPr>
            <w:tcW w:w="302" w:type="dxa"/>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選</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jc w:val="center"/>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79"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3</w:t>
            </w:r>
          </w:p>
        </w:t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790AC2" w:rsidRPr="00A85FF5" w:rsidRDefault="00790AC2" w:rsidP="001B6B96">
            <w:pPr>
              <w:snapToGrid w:val="0"/>
              <w:spacing w:line="280" w:lineRule="exact"/>
              <w:rPr>
                <w:rFonts w:ascii="標楷體" w:eastAsia="標楷體" w:hAnsi="標楷體"/>
                <w:kern w:val="0"/>
                <w:sz w:val="18"/>
                <w:szCs w:val="18"/>
              </w:rPr>
            </w:pPr>
            <w:r w:rsidRPr="00A85FF5">
              <w:rPr>
                <w:rFonts w:ascii="標楷體" w:eastAsia="標楷體" w:hAnsi="標楷體" w:hint="eastAsia"/>
                <w:kern w:val="0"/>
                <w:sz w:val="18"/>
                <w:szCs w:val="18"/>
              </w:rPr>
              <w:t>Topics in Educational Evaluation</w:t>
            </w:r>
          </w:p>
        </w:tc>
      </w:tr>
    </w:tbl>
    <w:p w:rsidR="00790AC2" w:rsidRPr="00A85FF5" w:rsidRDefault="00790AC2" w:rsidP="00790AC2">
      <w:pPr>
        <w:pStyle w:val="a3"/>
        <w:ind w:leftChars="0" w:left="0"/>
        <w:rPr>
          <w:rFonts w:ascii="標楷體" w:eastAsia="標楷體" w:hAnsi="標楷體" w:cstheme="minorBidi"/>
          <w:kern w:val="0"/>
          <w:sz w:val="18"/>
          <w:szCs w:val="18"/>
        </w:rPr>
      </w:pPr>
    </w:p>
    <w:p w:rsidR="00790AC2" w:rsidRPr="00A85FF5" w:rsidRDefault="00790AC2" w:rsidP="00790AC2">
      <w:pPr>
        <w:widowControl/>
        <w:rPr>
          <w:rFonts w:ascii="標楷體" w:eastAsia="標楷體" w:hAnsi="標楷體"/>
          <w:kern w:val="0"/>
          <w:sz w:val="18"/>
          <w:szCs w:val="18"/>
        </w:rPr>
      </w:pPr>
      <w:r w:rsidRPr="00A85FF5">
        <w:rPr>
          <w:rFonts w:ascii="標楷體" w:eastAsia="標楷體" w:hAnsi="標楷體"/>
          <w:kern w:val="0"/>
          <w:sz w:val="18"/>
          <w:szCs w:val="18"/>
        </w:rPr>
        <w:br w:type="page"/>
      </w:r>
    </w:p>
    <w:p w:rsidR="007E414F" w:rsidRPr="00A85FF5" w:rsidRDefault="007E414F"/>
    <w:sectPr w:rsidR="007E414F" w:rsidRPr="00A85FF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C2"/>
    <w:rsid w:val="00790AC2"/>
    <w:rsid w:val="007E414F"/>
    <w:rsid w:val="00A85F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790AC2"/>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790AC2"/>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tas.ncl.edu.tw/cgi-bin/theabs/1/flyweb.cgi?p=57586&amp;i=135139&amp;t=641&amp;o=iEducation.kwe"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2015-07-03T03:12:00Z</dcterms:created>
  <dcterms:modified xsi:type="dcterms:W3CDTF">2015-11-19T05:55:00Z</dcterms:modified>
</cp:coreProperties>
</file>