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FFD" w:rsidRPr="00846B06" w:rsidRDefault="006C0FFD" w:rsidP="006C0FFD">
      <w:pPr>
        <w:spacing w:beforeLines="50" w:before="180" w:afterLines="50" w:after="180" w:line="360" w:lineRule="exact"/>
        <w:jc w:val="center"/>
        <w:rPr>
          <w:rFonts w:asciiTheme="minorHAnsi" w:eastAsia="標楷體" w:hAnsiTheme="minorHAnsi" w:cs="標楷體"/>
          <w:b/>
          <w:kern w:val="0"/>
          <w:sz w:val="32"/>
          <w:szCs w:val="23"/>
        </w:rPr>
      </w:pPr>
      <w:r w:rsidRPr="00846B06">
        <w:rPr>
          <w:rFonts w:asciiTheme="minorHAnsi" w:eastAsia="標楷體" w:hAnsiTheme="minorHAnsi" w:cs="標楷體"/>
          <w:b/>
          <w:kern w:val="0"/>
          <w:sz w:val="32"/>
          <w:szCs w:val="23"/>
        </w:rPr>
        <w:t>國立</w:t>
      </w:r>
      <w:proofErr w:type="gramStart"/>
      <w:r w:rsidRPr="00846B06">
        <w:rPr>
          <w:rFonts w:asciiTheme="minorHAnsi" w:eastAsia="標楷體" w:hAnsiTheme="minorHAnsi" w:cs="標楷體"/>
          <w:b/>
          <w:kern w:val="0"/>
          <w:sz w:val="32"/>
          <w:szCs w:val="23"/>
        </w:rPr>
        <w:t>臺</w:t>
      </w:r>
      <w:proofErr w:type="gramEnd"/>
      <w:r w:rsidRPr="00846B06">
        <w:rPr>
          <w:rFonts w:asciiTheme="minorHAnsi" w:eastAsia="標楷體" w:hAnsiTheme="minorHAnsi" w:cs="標楷體"/>
          <w:b/>
          <w:kern w:val="0"/>
          <w:sz w:val="32"/>
          <w:szCs w:val="23"/>
        </w:rPr>
        <w:t>東大學課程模組化實施要點</w:t>
      </w:r>
    </w:p>
    <w:p w:rsidR="006C0FFD" w:rsidRPr="00846B06" w:rsidRDefault="006C0FFD" w:rsidP="006C0FFD">
      <w:pPr>
        <w:snapToGrid w:val="0"/>
        <w:jc w:val="right"/>
        <w:rPr>
          <w:rFonts w:asciiTheme="minorHAnsi" w:eastAsia="標楷體" w:hAnsiTheme="minorHAnsi"/>
          <w:snapToGrid w:val="0"/>
          <w:sz w:val="20"/>
          <w:szCs w:val="20"/>
        </w:rPr>
      </w:pPr>
      <w:r w:rsidRPr="00846B06">
        <w:rPr>
          <w:rFonts w:asciiTheme="minorHAnsi" w:eastAsia="標楷體" w:hAnsiTheme="minorHAnsi"/>
          <w:snapToGrid w:val="0"/>
          <w:sz w:val="20"/>
          <w:szCs w:val="20"/>
        </w:rPr>
        <w:t>102</w:t>
      </w:r>
      <w:r w:rsidRPr="00846B06">
        <w:rPr>
          <w:rFonts w:asciiTheme="minorHAnsi" w:eastAsia="標楷體" w:hAnsiTheme="minorHAnsi"/>
          <w:snapToGrid w:val="0"/>
          <w:sz w:val="20"/>
          <w:szCs w:val="20"/>
        </w:rPr>
        <w:t>學年度第</w:t>
      </w:r>
      <w:r w:rsidRPr="00846B06">
        <w:rPr>
          <w:rFonts w:asciiTheme="minorHAnsi" w:eastAsia="標楷體" w:hAnsiTheme="minorHAnsi"/>
          <w:snapToGrid w:val="0"/>
          <w:sz w:val="20"/>
          <w:szCs w:val="20"/>
        </w:rPr>
        <w:t>1</w:t>
      </w:r>
      <w:r w:rsidRPr="00846B06">
        <w:rPr>
          <w:rFonts w:asciiTheme="minorHAnsi" w:eastAsia="標楷體" w:hAnsiTheme="minorHAnsi"/>
          <w:snapToGrid w:val="0"/>
          <w:sz w:val="20"/>
          <w:szCs w:val="20"/>
        </w:rPr>
        <w:t>學期第</w:t>
      </w:r>
      <w:r w:rsidRPr="00846B06">
        <w:rPr>
          <w:rFonts w:asciiTheme="minorHAnsi" w:eastAsia="標楷體" w:hAnsiTheme="minorHAnsi"/>
          <w:snapToGrid w:val="0"/>
          <w:sz w:val="20"/>
          <w:szCs w:val="20"/>
        </w:rPr>
        <w:t>2</w:t>
      </w:r>
      <w:r w:rsidRPr="00846B06">
        <w:rPr>
          <w:rFonts w:asciiTheme="minorHAnsi" w:eastAsia="標楷體" w:hAnsiTheme="minorHAnsi"/>
          <w:snapToGrid w:val="0"/>
          <w:sz w:val="20"/>
          <w:szCs w:val="20"/>
        </w:rPr>
        <w:t>次行政會議通過</w:t>
      </w:r>
      <w:r w:rsidRPr="00846B06">
        <w:rPr>
          <w:rFonts w:asciiTheme="minorHAnsi" w:eastAsia="標楷體" w:hAnsiTheme="minorHAnsi"/>
          <w:snapToGrid w:val="0"/>
          <w:sz w:val="20"/>
          <w:szCs w:val="20"/>
        </w:rPr>
        <w:t>(102.11.14)</w:t>
      </w:r>
    </w:p>
    <w:p w:rsidR="006C0FFD" w:rsidRPr="00846B06" w:rsidRDefault="006C0FFD" w:rsidP="006C0FFD">
      <w:pPr>
        <w:snapToGrid w:val="0"/>
        <w:jc w:val="right"/>
        <w:rPr>
          <w:rFonts w:asciiTheme="minorHAnsi" w:eastAsia="標楷體" w:hAnsiTheme="minorHAnsi"/>
          <w:snapToGrid w:val="0"/>
          <w:sz w:val="20"/>
          <w:szCs w:val="20"/>
        </w:rPr>
      </w:pPr>
      <w:r w:rsidRPr="00846B06">
        <w:rPr>
          <w:rFonts w:asciiTheme="minorHAnsi" w:eastAsia="標楷體" w:hAnsiTheme="minorHAnsi"/>
          <w:snapToGrid w:val="0"/>
          <w:sz w:val="20"/>
          <w:szCs w:val="20"/>
        </w:rPr>
        <w:t>102</w:t>
      </w:r>
      <w:r w:rsidRPr="00846B06">
        <w:rPr>
          <w:rFonts w:asciiTheme="minorHAnsi" w:eastAsia="標楷體" w:hAnsiTheme="minorHAnsi"/>
          <w:snapToGrid w:val="0"/>
          <w:sz w:val="20"/>
          <w:szCs w:val="20"/>
        </w:rPr>
        <w:t>學年度第</w:t>
      </w:r>
      <w:r w:rsidRPr="00846B06">
        <w:rPr>
          <w:rFonts w:asciiTheme="minorHAnsi" w:eastAsia="標楷體" w:hAnsiTheme="minorHAnsi"/>
          <w:snapToGrid w:val="0"/>
          <w:sz w:val="20"/>
          <w:szCs w:val="20"/>
        </w:rPr>
        <w:t>1</w:t>
      </w:r>
      <w:r w:rsidRPr="00846B06">
        <w:rPr>
          <w:rFonts w:asciiTheme="minorHAnsi" w:eastAsia="標楷體" w:hAnsiTheme="minorHAnsi"/>
          <w:snapToGrid w:val="0"/>
          <w:sz w:val="20"/>
          <w:szCs w:val="20"/>
        </w:rPr>
        <w:t>學期期末行政會議通過</w:t>
      </w:r>
      <w:r w:rsidRPr="00846B06">
        <w:rPr>
          <w:rFonts w:asciiTheme="minorHAnsi" w:eastAsia="標楷體" w:hAnsiTheme="minorHAnsi"/>
          <w:snapToGrid w:val="0"/>
          <w:sz w:val="20"/>
          <w:szCs w:val="20"/>
        </w:rPr>
        <w:t>(103.1.16)</w:t>
      </w:r>
    </w:p>
    <w:p w:rsidR="006C0FFD" w:rsidRPr="00846B06" w:rsidRDefault="006C0FFD" w:rsidP="006C0FFD">
      <w:pPr>
        <w:snapToGrid w:val="0"/>
        <w:jc w:val="right"/>
        <w:rPr>
          <w:rFonts w:asciiTheme="minorHAnsi" w:eastAsia="標楷體" w:hAnsiTheme="minorHAnsi"/>
          <w:snapToGrid w:val="0"/>
          <w:sz w:val="20"/>
          <w:szCs w:val="20"/>
        </w:rPr>
      </w:pPr>
      <w:r w:rsidRPr="00846B06">
        <w:rPr>
          <w:rFonts w:asciiTheme="minorHAnsi" w:eastAsia="標楷體" w:hAnsiTheme="minorHAnsi"/>
          <w:snapToGrid w:val="0"/>
          <w:sz w:val="20"/>
          <w:szCs w:val="20"/>
        </w:rPr>
        <w:t>102</w:t>
      </w:r>
      <w:r w:rsidRPr="00846B06">
        <w:rPr>
          <w:rFonts w:asciiTheme="minorHAnsi" w:eastAsia="標楷體" w:hAnsiTheme="minorHAnsi"/>
          <w:snapToGrid w:val="0"/>
          <w:sz w:val="20"/>
          <w:szCs w:val="20"/>
        </w:rPr>
        <w:t>學年度第</w:t>
      </w:r>
      <w:r w:rsidRPr="00846B06">
        <w:rPr>
          <w:rFonts w:asciiTheme="minorHAnsi" w:eastAsia="標楷體" w:hAnsiTheme="minorHAnsi"/>
          <w:snapToGrid w:val="0"/>
          <w:sz w:val="20"/>
          <w:szCs w:val="20"/>
        </w:rPr>
        <w:t>2</w:t>
      </w:r>
      <w:r w:rsidRPr="00846B06">
        <w:rPr>
          <w:rFonts w:asciiTheme="minorHAnsi" w:eastAsia="標楷體" w:hAnsiTheme="minorHAnsi"/>
          <w:snapToGrid w:val="0"/>
          <w:sz w:val="20"/>
          <w:szCs w:val="20"/>
        </w:rPr>
        <w:t>學期第</w:t>
      </w:r>
      <w:r w:rsidRPr="00846B06">
        <w:rPr>
          <w:rFonts w:asciiTheme="minorHAnsi" w:eastAsia="標楷體" w:hAnsiTheme="minorHAnsi"/>
          <w:snapToGrid w:val="0"/>
          <w:sz w:val="20"/>
          <w:szCs w:val="20"/>
        </w:rPr>
        <w:t>1</w:t>
      </w:r>
      <w:r w:rsidRPr="00846B06">
        <w:rPr>
          <w:rFonts w:asciiTheme="minorHAnsi" w:eastAsia="標楷體" w:hAnsiTheme="minorHAnsi"/>
          <w:snapToGrid w:val="0"/>
          <w:sz w:val="20"/>
          <w:szCs w:val="20"/>
        </w:rPr>
        <w:t>次臨時行政會議通過</w:t>
      </w:r>
      <w:r w:rsidRPr="00846B06">
        <w:rPr>
          <w:rFonts w:asciiTheme="minorHAnsi" w:eastAsia="標楷體" w:hAnsiTheme="minorHAnsi"/>
          <w:snapToGrid w:val="0"/>
          <w:sz w:val="20"/>
          <w:szCs w:val="20"/>
        </w:rPr>
        <w:t>(103.5.8)</w:t>
      </w:r>
    </w:p>
    <w:p w:rsidR="006C0FFD" w:rsidRPr="00846B06" w:rsidRDefault="006C0FFD" w:rsidP="006C0FFD">
      <w:pPr>
        <w:snapToGrid w:val="0"/>
        <w:jc w:val="right"/>
        <w:rPr>
          <w:rFonts w:asciiTheme="minorHAnsi" w:eastAsia="標楷體" w:hAnsiTheme="minorHAnsi"/>
          <w:snapToGrid w:val="0"/>
          <w:sz w:val="20"/>
          <w:szCs w:val="20"/>
        </w:rPr>
      </w:pPr>
      <w:r w:rsidRPr="00846B06">
        <w:rPr>
          <w:rFonts w:asciiTheme="minorHAnsi" w:eastAsia="標楷體" w:hAnsiTheme="minorHAnsi"/>
          <w:snapToGrid w:val="0"/>
          <w:sz w:val="20"/>
          <w:szCs w:val="20"/>
        </w:rPr>
        <w:t>102</w:t>
      </w:r>
      <w:r w:rsidRPr="00846B06">
        <w:rPr>
          <w:rFonts w:asciiTheme="minorHAnsi" w:eastAsia="標楷體" w:hAnsiTheme="minorHAnsi"/>
          <w:snapToGrid w:val="0"/>
          <w:sz w:val="20"/>
          <w:szCs w:val="20"/>
        </w:rPr>
        <w:t>學年度第</w:t>
      </w:r>
      <w:r w:rsidRPr="00846B06">
        <w:rPr>
          <w:rFonts w:asciiTheme="minorHAnsi" w:eastAsia="標楷體" w:hAnsiTheme="minorHAnsi"/>
          <w:snapToGrid w:val="0"/>
          <w:sz w:val="20"/>
          <w:szCs w:val="20"/>
        </w:rPr>
        <w:t>2</w:t>
      </w:r>
      <w:r w:rsidRPr="00846B06">
        <w:rPr>
          <w:rFonts w:asciiTheme="minorHAnsi" w:eastAsia="標楷體" w:hAnsiTheme="minorHAnsi"/>
          <w:snapToGrid w:val="0"/>
          <w:sz w:val="20"/>
          <w:szCs w:val="20"/>
        </w:rPr>
        <w:t>學期第</w:t>
      </w:r>
      <w:r w:rsidRPr="00846B06">
        <w:rPr>
          <w:rFonts w:asciiTheme="minorHAnsi" w:eastAsia="標楷體" w:hAnsiTheme="minorHAnsi"/>
          <w:snapToGrid w:val="0"/>
          <w:sz w:val="20"/>
          <w:szCs w:val="20"/>
        </w:rPr>
        <w:t>3</w:t>
      </w:r>
      <w:r w:rsidRPr="00846B06">
        <w:rPr>
          <w:rFonts w:asciiTheme="minorHAnsi" w:eastAsia="標楷體" w:hAnsiTheme="minorHAnsi"/>
          <w:snapToGrid w:val="0"/>
          <w:sz w:val="20"/>
          <w:szCs w:val="20"/>
        </w:rPr>
        <w:t>次教務會議通過</w:t>
      </w:r>
      <w:r w:rsidRPr="00846B06">
        <w:rPr>
          <w:rFonts w:asciiTheme="minorHAnsi" w:eastAsia="標楷體" w:hAnsiTheme="minorHAnsi"/>
          <w:snapToGrid w:val="0"/>
          <w:sz w:val="20"/>
          <w:szCs w:val="20"/>
        </w:rPr>
        <w:t>(103.6.5)</w:t>
      </w:r>
    </w:p>
    <w:p w:rsidR="006C0FFD" w:rsidRPr="00846B06" w:rsidRDefault="006C0FFD" w:rsidP="006C0FFD">
      <w:pPr>
        <w:snapToGrid w:val="0"/>
        <w:jc w:val="right"/>
        <w:rPr>
          <w:rFonts w:asciiTheme="minorHAnsi" w:eastAsia="標楷體" w:hAnsiTheme="minorHAnsi"/>
          <w:snapToGrid w:val="0"/>
          <w:sz w:val="20"/>
          <w:szCs w:val="20"/>
        </w:rPr>
      </w:pPr>
      <w:r w:rsidRPr="00846B06">
        <w:rPr>
          <w:rFonts w:asciiTheme="minorHAnsi" w:eastAsia="標楷體" w:hAnsiTheme="minorHAnsi"/>
          <w:snapToGrid w:val="0"/>
          <w:sz w:val="20"/>
          <w:szCs w:val="20"/>
        </w:rPr>
        <w:t>105</w:t>
      </w:r>
      <w:r w:rsidRPr="00846B06">
        <w:rPr>
          <w:rFonts w:asciiTheme="minorHAnsi" w:eastAsia="標楷體" w:hAnsiTheme="minorHAnsi"/>
          <w:snapToGrid w:val="0"/>
          <w:sz w:val="20"/>
          <w:szCs w:val="20"/>
        </w:rPr>
        <w:t>學年度第</w:t>
      </w:r>
      <w:r w:rsidRPr="00846B06">
        <w:rPr>
          <w:rFonts w:asciiTheme="minorHAnsi" w:eastAsia="標楷體" w:hAnsiTheme="minorHAnsi"/>
          <w:snapToGrid w:val="0"/>
          <w:sz w:val="20"/>
          <w:szCs w:val="20"/>
        </w:rPr>
        <w:t>1</w:t>
      </w:r>
      <w:r w:rsidRPr="00846B06">
        <w:rPr>
          <w:rFonts w:asciiTheme="minorHAnsi" w:eastAsia="標楷體" w:hAnsiTheme="minorHAnsi"/>
          <w:snapToGrid w:val="0"/>
          <w:sz w:val="20"/>
          <w:szCs w:val="20"/>
        </w:rPr>
        <w:t>學期第</w:t>
      </w:r>
      <w:r w:rsidRPr="00846B06">
        <w:rPr>
          <w:rFonts w:asciiTheme="minorHAnsi" w:eastAsia="標楷體" w:hAnsiTheme="minorHAnsi"/>
          <w:snapToGrid w:val="0"/>
          <w:sz w:val="20"/>
          <w:szCs w:val="20"/>
        </w:rPr>
        <w:t>1</w:t>
      </w:r>
      <w:r w:rsidRPr="00846B06">
        <w:rPr>
          <w:rFonts w:asciiTheme="minorHAnsi" w:eastAsia="標楷體" w:hAnsiTheme="minorHAnsi"/>
          <w:snapToGrid w:val="0"/>
          <w:sz w:val="20"/>
          <w:szCs w:val="20"/>
        </w:rPr>
        <w:t>次臨時教務會議通過</w:t>
      </w:r>
      <w:r w:rsidRPr="00846B06">
        <w:rPr>
          <w:rFonts w:asciiTheme="minorHAnsi" w:eastAsia="標楷體" w:hAnsiTheme="minorHAnsi"/>
          <w:snapToGrid w:val="0"/>
          <w:sz w:val="20"/>
          <w:szCs w:val="20"/>
        </w:rPr>
        <w:t>(105.8.29)</w:t>
      </w:r>
    </w:p>
    <w:p w:rsidR="006C0FFD" w:rsidRPr="00846B06" w:rsidRDefault="006C0FFD" w:rsidP="006C0FFD">
      <w:pPr>
        <w:snapToGrid w:val="0"/>
        <w:jc w:val="right"/>
        <w:rPr>
          <w:rFonts w:asciiTheme="minorHAnsi" w:eastAsia="標楷體" w:hAnsiTheme="minorHAnsi"/>
          <w:snapToGrid w:val="0"/>
          <w:color w:val="000000" w:themeColor="text1"/>
          <w:sz w:val="20"/>
          <w:szCs w:val="20"/>
        </w:rPr>
      </w:pPr>
      <w:r w:rsidRPr="00846B06">
        <w:rPr>
          <w:rFonts w:asciiTheme="minorHAnsi" w:eastAsia="標楷體" w:hAnsiTheme="minorHAnsi"/>
          <w:snapToGrid w:val="0"/>
          <w:color w:val="000000" w:themeColor="text1"/>
          <w:sz w:val="20"/>
          <w:szCs w:val="20"/>
        </w:rPr>
        <w:t>109</w:t>
      </w:r>
      <w:r w:rsidRPr="00846B06">
        <w:rPr>
          <w:rFonts w:asciiTheme="minorHAnsi" w:eastAsia="標楷體" w:hAnsiTheme="minorHAnsi"/>
          <w:snapToGrid w:val="0"/>
          <w:color w:val="000000" w:themeColor="text1"/>
          <w:sz w:val="20"/>
          <w:szCs w:val="20"/>
        </w:rPr>
        <w:t>學年度第</w:t>
      </w:r>
      <w:r w:rsidRPr="00846B06">
        <w:rPr>
          <w:rFonts w:asciiTheme="minorHAnsi" w:eastAsia="標楷體" w:hAnsiTheme="minorHAnsi"/>
          <w:snapToGrid w:val="0"/>
          <w:color w:val="000000" w:themeColor="text1"/>
          <w:sz w:val="20"/>
          <w:szCs w:val="20"/>
        </w:rPr>
        <w:t>1</w:t>
      </w:r>
      <w:r w:rsidRPr="00846B06">
        <w:rPr>
          <w:rFonts w:asciiTheme="minorHAnsi" w:eastAsia="標楷體" w:hAnsiTheme="minorHAnsi"/>
          <w:snapToGrid w:val="0"/>
          <w:color w:val="000000" w:themeColor="text1"/>
          <w:sz w:val="20"/>
          <w:szCs w:val="20"/>
        </w:rPr>
        <w:t>學期第</w:t>
      </w:r>
      <w:r w:rsidRPr="00846B06">
        <w:rPr>
          <w:rFonts w:asciiTheme="minorHAnsi" w:eastAsia="標楷體" w:hAnsiTheme="minorHAnsi"/>
          <w:snapToGrid w:val="0"/>
          <w:color w:val="000000" w:themeColor="text1"/>
          <w:sz w:val="20"/>
          <w:szCs w:val="20"/>
        </w:rPr>
        <w:t>1</w:t>
      </w:r>
      <w:r w:rsidRPr="00846B06">
        <w:rPr>
          <w:rFonts w:asciiTheme="minorHAnsi" w:eastAsia="標楷體" w:hAnsiTheme="minorHAnsi"/>
          <w:snapToGrid w:val="0"/>
          <w:color w:val="000000" w:themeColor="text1"/>
          <w:sz w:val="20"/>
          <w:szCs w:val="20"/>
        </w:rPr>
        <w:t>次教務會議通過</w:t>
      </w:r>
      <w:r w:rsidRPr="00846B06">
        <w:rPr>
          <w:rFonts w:asciiTheme="minorHAnsi" w:eastAsia="標楷體" w:hAnsiTheme="minorHAnsi"/>
          <w:snapToGrid w:val="0"/>
          <w:color w:val="000000" w:themeColor="text1"/>
          <w:sz w:val="20"/>
          <w:szCs w:val="20"/>
        </w:rPr>
        <w:t>(109.11.12)</w:t>
      </w:r>
    </w:p>
    <w:p w:rsidR="006C0FFD" w:rsidRPr="00B43289" w:rsidRDefault="006C0FFD" w:rsidP="006C0FFD">
      <w:pPr>
        <w:snapToGrid w:val="0"/>
        <w:jc w:val="right"/>
        <w:rPr>
          <w:rFonts w:asciiTheme="minorHAnsi" w:eastAsia="標楷體" w:hAnsiTheme="minorHAnsi"/>
          <w:snapToGrid w:val="0"/>
          <w:color w:val="000000" w:themeColor="text1"/>
          <w:sz w:val="20"/>
          <w:szCs w:val="20"/>
        </w:rPr>
      </w:pPr>
      <w:r w:rsidRPr="00B43289">
        <w:rPr>
          <w:rFonts w:asciiTheme="minorHAnsi" w:eastAsia="標楷體" w:hAnsiTheme="minorHAnsi"/>
          <w:snapToGrid w:val="0"/>
          <w:color w:val="000000" w:themeColor="text1"/>
          <w:sz w:val="20"/>
          <w:szCs w:val="20"/>
        </w:rPr>
        <w:t>109</w:t>
      </w:r>
      <w:r w:rsidRPr="00B43289">
        <w:rPr>
          <w:rFonts w:asciiTheme="minorHAnsi" w:eastAsia="標楷體" w:hAnsiTheme="minorHAnsi"/>
          <w:snapToGrid w:val="0"/>
          <w:color w:val="000000" w:themeColor="text1"/>
          <w:sz w:val="20"/>
          <w:szCs w:val="20"/>
        </w:rPr>
        <w:t>學年度第</w:t>
      </w:r>
      <w:r w:rsidRPr="00B43289">
        <w:rPr>
          <w:rFonts w:asciiTheme="minorHAnsi" w:eastAsia="標楷體" w:hAnsiTheme="minorHAnsi"/>
          <w:snapToGrid w:val="0"/>
          <w:color w:val="000000" w:themeColor="text1"/>
          <w:sz w:val="20"/>
          <w:szCs w:val="20"/>
        </w:rPr>
        <w:t>1</w:t>
      </w:r>
      <w:r w:rsidRPr="00B43289">
        <w:rPr>
          <w:rFonts w:asciiTheme="minorHAnsi" w:eastAsia="標楷體" w:hAnsiTheme="minorHAnsi"/>
          <w:snapToGrid w:val="0"/>
          <w:color w:val="000000" w:themeColor="text1"/>
          <w:sz w:val="20"/>
          <w:szCs w:val="20"/>
        </w:rPr>
        <w:t>學期第</w:t>
      </w:r>
      <w:r w:rsidRPr="00B43289">
        <w:rPr>
          <w:rFonts w:asciiTheme="minorHAnsi" w:eastAsia="標楷體" w:hAnsiTheme="minorHAnsi"/>
          <w:snapToGrid w:val="0"/>
          <w:color w:val="000000" w:themeColor="text1"/>
          <w:sz w:val="20"/>
          <w:szCs w:val="20"/>
        </w:rPr>
        <w:t>2</w:t>
      </w:r>
      <w:r w:rsidR="00B43289" w:rsidRPr="00B43289">
        <w:rPr>
          <w:rFonts w:asciiTheme="minorHAnsi" w:eastAsia="標楷體" w:hAnsiTheme="minorHAnsi"/>
          <w:snapToGrid w:val="0"/>
          <w:color w:val="000000" w:themeColor="text1"/>
          <w:sz w:val="20"/>
          <w:szCs w:val="20"/>
        </w:rPr>
        <w:t>次教務會</w:t>
      </w:r>
      <w:r w:rsidR="00B43289">
        <w:rPr>
          <w:rFonts w:asciiTheme="minorHAnsi" w:eastAsia="標楷體" w:hAnsiTheme="minorHAnsi" w:hint="eastAsia"/>
          <w:snapToGrid w:val="0"/>
          <w:color w:val="000000" w:themeColor="text1"/>
          <w:sz w:val="20"/>
          <w:szCs w:val="20"/>
        </w:rPr>
        <w:t>議</w:t>
      </w:r>
      <w:r w:rsidR="00B43289" w:rsidRPr="00B43289">
        <w:rPr>
          <w:rFonts w:asciiTheme="minorHAnsi" w:eastAsia="標楷體" w:hAnsiTheme="minorHAnsi" w:hint="eastAsia"/>
          <w:snapToGrid w:val="0"/>
          <w:color w:val="000000" w:themeColor="text1"/>
          <w:sz w:val="20"/>
          <w:szCs w:val="20"/>
        </w:rPr>
        <w:t>通過</w:t>
      </w:r>
      <w:r w:rsidRPr="00B43289">
        <w:rPr>
          <w:rFonts w:asciiTheme="minorHAnsi" w:eastAsia="標楷體" w:hAnsiTheme="minorHAnsi"/>
          <w:snapToGrid w:val="0"/>
          <w:color w:val="000000" w:themeColor="text1"/>
          <w:sz w:val="20"/>
          <w:szCs w:val="20"/>
        </w:rPr>
        <w:t>(109.12.17)</w:t>
      </w:r>
    </w:p>
    <w:p w:rsidR="006C0FFD" w:rsidRPr="00B43289" w:rsidRDefault="006C0FFD" w:rsidP="006C0FFD">
      <w:pPr>
        <w:snapToGrid w:val="0"/>
        <w:jc w:val="right"/>
        <w:rPr>
          <w:rFonts w:asciiTheme="minorHAnsi" w:eastAsia="標楷體" w:hAnsiTheme="minorHAnsi"/>
          <w:snapToGrid w:val="0"/>
          <w:color w:val="FF0000"/>
          <w:sz w:val="20"/>
          <w:szCs w:val="20"/>
          <w:u w:val="single"/>
        </w:rPr>
      </w:pPr>
    </w:p>
    <w:p w:rsidR="006C0FFD" w:rsidRPr="00846B06" w:rsidRDefault="006C0FFD" w:rsidP="006C0FFD">
      <w:pPr>
        <w:autoSpaceDE w:val="0"/>
        <w:autoSpaceDN w:val="0"/>
        <w:ind w:left="480" w:hangingChars="200" w:hanging="480"/>
        <w:rPr>
          <w:rFonts w:asciiTheme="minorHAnsi" w:eastAsia="標楷體" w:hAnsiTheme="minorHAnsi" w:cs="標楷體"/>
          <w:kern w:val="0"/>
        </w:rPr>
      </w:pPr>
      <w:r w:rsidRPr="00846B06">
        <w:rPr>
          <w:rFonts w:asciiTheme="minorHAnsi" w:eastAsia="標楷體" w:hAnsiTheme="minorHAnsi" w:cs="標楷體"/>
          <w:kern w:val="0"/>
        </w:rPr>
        <w:t>一、本校為因應社會變遷及人才需求趨勢，並整合教學資源及提升教學與學習的效率，建構以學生為本位之專業化精實課程及發揮學生學習能量，創造優質、多元、自由與跨領域的學習環境，作為學生選課和生涯規劃，以提升學生之就業能力，特訂定「國立</w:t>
      </w:r>
      <w:proofErr w:type="gramStart"/>
      <w:r w:rsidRPr="00846B06">
        <w:rPr>
          <w:rFonts w:asciiTheme="minorHAnsi" w:eastAsia="標楷體" w:hAnsiTheme="minorHAnsi" w:cs="標楷體"/>
          <w:kern w:val="0"/>
        </w:rPr>
        <w:t>臺</w:t>
      </w:r>
      <w:proofErr w:type="gramEnd"/>
      <w:r w:rsidRPr="00846B06">
        <w:rPr>
          <w:rFonts w:asciiTheme="minorHAnsi" w:eastAsia="標楷體" w:hAnsiTheme="minorHAnsi" w:cs="標楷體"/>
          <w:kern w:val="0"/>
        </w:rPr>
        <w:t>東大學課程模組化實施要點」</w:t>
      </w:r>
      <w:r w:rsidRPr="00846B06">
        <w:rPr>
          <w:rFonts w:asciiTheme="minorHAnsi" w:eastAsia="標楷體" w:hAnsiTheme="minorHAnsi" w:cs="標楷體"/>
          <w:kern w:val="0"/>
        </w:rPr>
        <w:t>(</w:t>
      </w:r>
      <w:r w:rsidRPr="00846B06">
        <w:rPr>
          <w:rFonts w:asciiTheme="minorHAnsi" w:eastAsia="標楷體" w:hAnsiTheme="minorHAnsi" w:cs="標楷體"/>
          <w:kern w:val="0"/>
        </w:rPr>
        <w:t>以下簡稱本要點</w:t>
      </w:r>
      <w:r w:rsidRPr="00846B06">
        <w:rPr>
          <w:rFonts w:asciiTheme="minorHAnsi" w:eastAsia="標楷體" w:hAnsiTheme="minorHAnsi" w:cs="標楷體"/>
          <w:kern w:val="0"/>
        </w:rPr>
        <w:t>)</w:t>
      </w:r>
      <w:r w:rsidRPr="00846B06">
        <w:rPr>
          <w:rFonts w:asciiTheme="minorHAnsi" w:eastAsia="標楷體" w:hAnsiTheme="minorHAnsi" w:cs="標楷體"/>
          <w:kern w:val="0"/>
        </w:rPr>
        <w:t>。</w:t>
      </w:r>
    </w:p>
    <w:p w:rsidR="006C0FFD" w:rsidRPr="00846B06" w:rsidRDefault="006C0FFD" w:rsidP="006C0FFD">
      <w:pPr>
        <w:autoSpaceDE w:val="0"/>
        <w:autoSpaceDN w:val="0"/>
        <w:adjustRightInd w:val="0"/>
        <w:ind w:left="480" w:hangingChars="200" w:hanging="480"/>
        <w:rPr>
          <w:rFonts w:asciiTheme="minorHAnsi" w:eastAsia="標楷體" w:hAnsiTheme="minorHAnsi" w:cs="標楷體"/>
          <w:kern w:val="0"/>
        </w:rPr>
      </w:pPr>
      <w:r w:rsidRPr="00846B06">
        <w:rPr>
          <w:rFonts w:asciiTheme="minorHAnsi" w:eastAsia="標楷體" w:hAnsiTheme="minorHAnsi" w:cs="標楷體"/>
          <w:kern w:val="0"/>
        </w:rPr>
        <w:t>二、本校課程模組之架構為：</w:t>
      </w:r>
    </w:p>
    <w:p w:rsidR="006C0FFD" w:rsidRPr="00846B06" w:rsidRDefault="006C0FFD" w:rsidP="006C0FFD">
      <w:pPr>
        <w:autoSpaceDE w:val="0"/>
        <w:autoSpaceDN w:val="0"/>
        <w:adjustRightInd w:val="0"/>
        <w:snapToGrid w:val="0"/>
        <w:ind w:left="480" w:hangingChars="200" w:hanging="480"/>
        <w:rPr>
          <w:rFonts w:asciiTheme="minorHAnsi" w:eastAsia="標楷體" w:hAnsiTheme="minorHAnsi" w:cs="標楷體"/>
          <w:kern w:val="0"/>
        </w:rPr>
      </w:pPr>
      <w:r w:rsidRPr="00846B06">
        <w:rPr>
          <w:rFonts w:asciiTheme="minorHAnsi" w:eastAsia="標楷體" w:hAnsiTheme="minorHAnsi" w:cs="標楷體"/>
          <w:kern w:val="0"/>
        </w:rPr>
        <w:t xml:space="preserve">    (</w:t>
      </w:r>
      <w:proofErr w:type="gramStart"/>
      <w:r w:rsidRPr="00846B06">
        <w:rPr>
          <w:rFonts w:asciiTheme="minorHAnsi" w:eastAsia="標楷體" w:hAnsiTheme="minorHAnsi" w:cs="標楷體"/>
          <w:kern w:val="0"/>
        </w:rPr>
        <w:t>一</w:t>
      </w:r>
      <w:proofErr w:type="gramEnd"/>
      <w:r w:rsidRPr="00846B06">
        <w:rPr>
          <w:rFonts w:asciiTheme="minorHAnsi" w:eastAsia="標楷體" w:hAnsiTheme="minorHAnsi" w:cs="標楷體"/>
          <w:kern w:val="0"/>
        </w:rPr>
        <w:t>)</w:t>
      </w:r>
      <w:r w:rsidRPr="00846B06">
        <w:rPr>
          <w:rFonts w:asciiTheme="minorHAnsi" w:eastAsia="標楷體" w:hAnsiTheme="minorHAnsi" w:cs="標楷體"/>
          <w:kern w:val="0"/>
        </w:rPr>
        <w:t>「通識教育課程」：由通識教育中心規劃。</w:t>
      </w:r>
    </w:p>
    <w:p w:rsidR="006C0FFD" w:rsidRPr="00846B06" w:rsidRDefault="006C0FFD" w:rsidP="006C0FFD">
      <w:pPr>
        <w:autoSpaceDE w:val="0"/>
        <w:autoSpaceDN w:val="0"/>
        <w:adjustRightInd w:val="0"/>
        <w:snapToGrid w:val="0"/>
        <w:ind w:leftChars="200" w:left="960" w:hangingChars="200" w:hanging="480"/>
        <w:outlineLvl w:val="1"/>
        <w:rPr>
          <w:rFonts w:asciiTheme="minorHAnsi" w:eastAsia="標楷體" w:hAnsiTheme="minorHAnsi" w:cs="標楷體"/>
          <w:kern w:val="0"/>
        </w:rPr>
      </w:pPr>
      <w:r w:rsidRPr="00846B06">
        <w:rPr>
          <w:rFonts w:asciiTheme="minorHAnsi" w:eastAsia="標楷體" w:hAnsiTheme="minorHAnsi" w:cs="標楷體"/>
          <w:kern w:val="0"/>
        </w:rPr>
        <w:t>(</w:t>
      </w:r>
      <w:r w:rsidRPr="00846B06">
        <w:rPr>
          <w:rFonts w:asciiTheme="minorHAnsi" w:eastAsia="標楷體" w:hAnsiTheme="minorHAnsi" w:cs="標楷體"/>
          <w:kern w:val="0"/>
        </w:rPr>
        <w:t>二</w:t>
      </w:r>
      <w:r w:rsidRPr="00846B06">
        <w:rPr>
          <w:rFonts w:asciiTheme="minorHAnsi" w:eastAsia="標楷體" w:hAnsiTheme="minorHAnsi" w:cs="標楷體"/>
          <w:kern w:val="0"/>
        </w:rPr>
        <w:t>)</w:t>
      </w:r>
      <w:r w:rsidRPr="00846B06">
        <w:rPr>
          <w:rFonts w:asciiTheme="minorHAnsi" w:eastAsia="標楷體" w:hAnsiTheme="minorHAnsi" w:cs="標楷體"/>
          <w:kern w:val="0"/>
        </w:rPr>
        <w:t>「院共同課程」：由各學院整合所屬學系共同的基礎課程。</w:t>
      </w:r>
    </w:p>
    <w:p w:rsidR="006C0FFD" w:rsidRPr="00846B06" w:rsidRDefault="006C0FFD" w:rsidP="006C0FFD">
      <w:pPr>
        <w:autoSpaceDE w:val="0"/>
        <w:autoSpaceDN w:val="0"/>
        <w:adjustRightInd w:val="0"/>
        <w:snapToGrid w:val="0"/>
        <w:ind w:leftChars="200" w:left="960" w:hangingChars="200" w:hanging="480"/>
        <w:outlineLvl w:val="1"/>
        <w:rPr>
          <w:rFonts w:asciiTheme="minorHAnsi" w:eastAsia="標楷體" w:hAnsiTheme="minorHAnsi" w:cs="標楷體"/>
          <w:kern w:val="0"/>
        </w:rPr>
      </w:pPr>
      <w:r w:rsidRPr="00846B06">
        <w:rPr>
          <w:rFonts w:asciiTheme="minorHAnsi" w:eastAsia="標楷體" w:hAnsiTheme="minorHAnsi" w:cs="標楷體"/>
          <w:kern w:val="0"/>
        </w:rPr>
        <w:t>(</w:t>
      </w:r>
      <w:r w:rsidRPr="00846B06">
        <w:rPr>
          <w:rFonts w:asciiTheme="minorHAnsi" w:eastAsia="標楷體" w:hAnsiTheme="minorHAnsi" w:cs="標楷體"/>
          <w:kern w:val="0"/>
        </w:rPr>
        <w:t>三</w:t>
      </w:r>
      <w:r w:rsidRPr="00846B06">
        <w:rPr>
          <w:rFonts w:asciiTheme="minorHAnsi" w:eastAsia="標楷體" w:hAnsiTheme="minorHAnsi" w:cs="標楷體"/>
          <w:kern w:val="0"/>
        </w:rPr>
        <w:t>)</w:t>
      </w:r>
      <w:r w:rsidRPr="00846B06">
        <w:rPr>
          <w:rFonts w:asciiTheme="minorHAnsi" w:eastAsia="標楷體" w:hAnsiTheme="minorHAnsi" w:cs="標楷體"/>
          <w:kern w:val="0"/>
        </w:rPr>
        <w:t>「系模組課程」：各學系、學位學程得將基礎課程規劃為「基礎模組」，專業核心課程規劃為「核心模組」，依其專業應用需求，規劃</w:t>
      </w:r>
      <w:r w:rsidRPr="00846B06">
        <w:rPr>
          <w:rFonts w:asciiTheme="minorHAnsi" w:eastAsia="標楷體" w:hAnsiTheme="minorHAnsi" w:cs="標楷體"/>
          <w:color w:val="FF0000"/>
          <w:kern w:val="0"/>
          <w:u w:val="single"/>
        </w:rPr>
        <w:t>為</w:t>
      </w:r>
      <w:r w:rsidRPr="00846B06">
        <w:rPr>
          <w:rFonts w:asciiTheme="minorHAnsi" w:eastAsia="標楷體" w:hAnsiTheme="minorHAnsi" w:cs="標楷體"/>
          <w:kern w:val="0"/>
        </w:rPr>
        <w:t>「專業模組」為原則。</w:t>
      </w:r>
    </w:p>
    <w:p w:rsidR="006C0FFD" w:rsidRPr="00846B06" w:rsidRDefault="006C0FFD" w:rsidP="006C0FFD">
      <w:pPr>
        <w:autoSpaceDE w:val="0"/>
        <w:autoSpaceDN w:val="0"/>
        <w:adjustRightInd w:val="0"/>
        <w:snapToGrid w:val="0"/>
        <w:ind w:leftChars="200" w:left="960" w:hangingChars="200" w:hanging="480"/>
        <w:outlineLvl w:val="1"/>
        <w:rPr>
          <w:rFonts w:asciiTheme="minorHAnsi" w:eastAsia="標楷體" w:hAnsiTheme="minorHAnsi" w:cs="標楷體"/>
          <w:kern w:val="0"/>
        </w:rPr>
      </w:pPr>
      <w:r w:rsidRPr="00846B06">
        <w:rPr>
          <w:rFonts w:asciiTheme="minorHAnsi" w:eastAsia="標楷體" w:hAnsiTheme="minorHAnsi" w:cs="標楷體"/>
          <w:kern w:val="0"/>
        </w:rPr>
        <w:t>(</w:t>
      </w:r>
      <w:r w:rsidRPr="00846B06">
        <w:rPr>
          <w:rFonts w:asciiTheme="minorHAnsi" w:eastAsia="標楷體" w:hAnsiTheme="minorHAnsi" w:cs="標楷體"/>
          <w:kern w:val="0"/>
        </w:rPr>
        <w:t>四</w:t>
      </w:r>
      <w:r w:rsidRPr="00846B06">
        <w:rPr>
          <w:rFonts w:asciiTheme="minorHAnsi" w:eastAsia="標楷體" w:hAnsiTheme="minorHAnsi" w:cs="標楷體"/>
          <w:kern w:val="0"/>
        </w:rPr>
        <w:t>)</w:t>
      </w:r>
      <w:r w:rsidRPr="00846B06">
        <w:rPr>
          <w:rFonts w:asciiTheme="minorHAnsi" w:eastAsia="標楷體" w:hAnsiTheme="minorHAnsi" w:cs="標楷體"/>
          <w:kern w:val="0"/>
        </w:rPr>
        <w:t>「自由選修」：通識教育課程之跨領域核心課程、院共同課程、系基礎模組、系核心模組及系專業模組之</w:t>
      </w:r>
      <w:r w:rsidRPr="00846B06">
        <w:rPr>
          <w:rFonts w:asciiTheme="minorHAnsi" w:eastAsia="標楷體" w:hAnsiTheme="minorHAnsi" w:cs="標楷體"/>
          <w:color w:val="FF0000"/>
          <w:kern w:val="0"/>
          <w:u w:val="single"/>
        </w:rPr>
        <w:t>多</w:t>
      </w:r>
      <w:r w:rsidRPr="00846B06">
        <w:rPr>
          <w:rFonts w:asciiTheme="minorHAnsi" w:eastAsia="標楷體" w:hAnsiTheme="minorHAnsi" w:cs="標楷體"/>
          <w:kern w:val="0"/>
        </w:rPr>
        <w:t>修學分，</w:t>
      </w:r>
      <w:proofErr w:type="gramStart"/>
      <w:r w:rsidRPr="00846B06">
        <w:rPr>
          <w:rFonts w:asciiTheme="minorHAnsi" w:eastAsia="標楷體" w:hAnsiTheme="minorHAnsi" w:cs="標楷體"/>
          <w:kern w:val="0"/>
        </w:rPr>
        <w:t>及</w:t>
      </w:r>
      <w:r w:rsidRPr="00846B06">
        <w:rPr>
          <w:rFonts w:asciiTheme="minorHAnsi" w:eastAsia="標楷體" w:hAnsiTheme="minorHAnsi" w:cs="標楷體"/>
          <w:color w:val="FF0000"/>
          <w:kern w:val="0"/>
          <w:u w:val="single"/>
        </w:rPr>
        <w:t>多</w:t>
      </w:r>
      <w:r w:rsidRPr="00846B06">
        <w:rPr>
          <w:rFonts w:asciiTheme="minorHAnsi" w:eastAsia="標楷體" w:hAnsiTheme="minorHAnsi" w:cs="標楷體"/>
          <w:kern w:val="0"/>
        </w:rPr>
        <w:t>修之</w:t>
      </w:r>
      <w:proofErr w:type="gramEnd"/>
      <w:r w:rsidRPr="00846B06">
        <w:rPr>
          <w:rFonts w:asciiTheme="minorHAnsi" w:eastAsia="標楷體" w:hAnsiTheme="minorHAnsi" w:cs="標楷體"/>
          <w:kern w:val="0"/>
        </w:rPr>
        <w:t>課程、學程得列計自由選修學分，惟學分數不得重複認列。</w:t>
      </w:r>
    </w:p>
    <w:p w:rsidR="006C0FFD" w:rsidRPr="00846B06" w:rsidRDefault="006C0FFD" w:rsidP="006C0FFD">
      <w:pPr>
        <w:autoSpaceDE w:val="0"/>
        <w:autoSpaceDN w:val="0"/>
        <w:adjustRightInd w:val="0"/>
        <w:snapToGrid w:val="0"/>
        <w:ind w:leftChars="200" w:left="965" w:hangingChars="202" w:hanging="485"/>
        <w:outlineLvl w:val="0"/>
        <w:rPr>
          <w:rFonts w:asciiTheme="minorHAnsi" w:eastAsia="標楷體" w:hAnsiTheme="minorHAnsi" w:cs="標楷體"/>
          <w:kern w:val="0"/>
        </w:rPr>
      </w:pPr>
      <w:r w:rsidRPr="00846B06">
        <w:rPr>
          <w:rFonts w:asciiTheme="minorHAnsi" w:eastAsia="標楷體" w:hAnsiTheme="minorHAnsi" w:cs="標楷體"/>
          <w:kern w:val="0"/>
        </w:rPr>
        <w:t>(</w:t>
      </w:r>
      <w:r w:rsidRPr="00846B06">
        <w:rPr>
          <w:rFonts w:asciiTheme="minorHAnsi" w:eastAsia="標楷體" w:hAnsiTheme="minorHAnsi" w:cs="標楷體"/>
          <w:kern w:val="0"/>
        </w:rPr>
        <w:t>五</w:t>
      </w:r>
      <w:r w:rsidRPr="00846B06">
        <w:rPr>
          <w:rFonts w:asciiTheme="minorHAnsi" w:eastAsia="標楷體" w:hAnsiTheme="minorHAnsi" w:cs="標楷體"/>
          <w:kern w:val="0"/>
        </w:rPr>
        <w:t>)</w:t>
      </w:r>
      <w:r w:rsidRPr="00846B06">
        <w:rPr>
          <w:rFonts w:asciiTheme="minorHAnsi" w:hAnsiTheme="minorHAnsi"/>
        </w:rPr>
        <w:t xml:space="preserve"> </w:t>
      </w:r>
      <w:proofErr w:type="gramStart"/>
      <w:r w:rsidRPr="00846B06">
        <w:rPr>
          <w:rFonts w:asciiTheme="minorHAnsi" w:eastAsia="標楷體" w:hAnsiTheme="minorHAnsi" w:cs="標楷體"/>
          <w:kern w:val="0"/>
        </w:rPr>
        <w:t>師培學系報部</w:t>
      </w:r>
      <w:proofErr w:type="gramEnd"/>
      <w:r w:rsidRPr="00846B06">
        <w:rPr>
          <w:rFonts w:asciiTheme="minorHAnsi" w:eastAsia="標楷體" w:hAnsiTheme="minorHAnsi" w:cs="標楷體"/>
          <w:kern w:val="0"/>
        </w:rPr>
        <w:t>核准之師資職前教育專業課程得規劃為一模組。</w:t>
      </w:r>
    </w:p>
    <w:p w:rsidR="006C0FFD" w:rsidRPr="00846B06" w:rsidRDefault="006C0FFD" w:rsidP="006C0FFD">
      <w:pPr>
        <w:autoSpaceDE w:val="0"/>
        <w:autoSpaceDN w:val="0"/>
        <w:adjustRightInd w:val="0"/>
        <w:snapToGrid w:val="0"/>
        <w:ind w:leftChars="200" w:left="965" w:hangingChars="202" w:hanging="485"/>
        <w:outlineLvl w:val="0"/>
        <w:rPr>
          <w:rFonts w:asciiTheme="minorHAnsi" w:eastAsia="標楷體" w:hAnsiTheme="minorHAnsi" w:cs="標楷體"/>
          <w:color w:val="FF0000"/>
          <w:kern w:val="0"/>
        </w:rPr>
      </w:pPr>
      <w:r w:rsidRPr="00846B06">
        <w:rPr>
          <w:rFonts w:asciiTheme="minorHAnsi" w:eastAsia="標楷體" w:hAnsiTheme="minorHAnsi" w:cs="標楷體"/>
          <w:kern w:val="0"/>
        </w:rPr>
        <w:t>(</w:t>
      </w:r>
      <w:r w:rsidRPr="00846B06">
        <w:rPr>
          <w:rFonts w:asciiTheme="minorHAnsi" w:eastAsia="標楷體" w:hAnsiTheme="minorHAnsi" w:cs="標楷體"/>
          <w:kern w:val="0"/>
        </w:rPr>
        <w:t>六</w:t>
      </w:r>
      <w:r w:rsidRPr="00846B06">
        <w:rPr>
          <w:rFonts w:asciiTheme="minorHAnsi" w:eastAsia="標楷體" w:hAnsiTheme="minorHAnsi" w:cs="標楷體"/>
          <w:kern w:val="0"/>
        </w:rPr>
        <w:t>)</w:t>
      </w:r>
      <w:r w:rsidRPr="00846B06">
        <w:rPr>
          <w:rFonts w:asciiTheme="minorHAnsi" w:eastAsia="標楷體" w:hAnsiTheme="minorHAnsi" w:cs="標楷體"/>
          <w:kern w:val="0"/>
        </w:rPr>
        <w:t>「副修模組」：各系、學位學程</w:t>
      </w:r>
      <w:r>
        <w:rPr>
          <w:rFonts w:asciiTheme="minorHAnsi" w:eastAsia="標楷體" w:hAnsiTheme="minorHAnsi" w:cs="標楷體" w:hint="eastAsia"/>
          <w:color w:val="FF0000"/>
          <w:kern w:val="0"/>
          <w:u w:val="single"/>
        </w:rPr>
        <w:t>得</w:t>
      </w:r>
      <w:r w:rsidRPr="00846B06">
        <w:rPr>
          <w:rFonts w:asciiTheme="minorHAnsi" w:eastAsia="標楷體" w:hAnsiTheme="minorHAnsi" w:cs="標楷體"/>
          <w:kern w:val="0"/>
        </w:rPr>
        <w:t>設副修模組為提供外系學生</w:t>
      </w:r>
      <w:proofErr w:type="gramStart"/>
      <w:r w:rsidRPr="00846B06">
        <w:rPr>
          <w:rFonts w:asciiTheme="minorHAnsi" w:eastAsia="標楷體" w:hAnsiTheme="minorHAnsi" w:cs="標楷體"/>
          <w:kern w:val="0"/>
        </w:rPr>
        <w:t>修讀副修</w:t>
      </w:r>
      <w:proofErr w:type="gramEnd"/>
      <w:r w:rsidRPr="00846B06">
        <w:rPr>
          <w:rFonts w:asciiTheme="minorHAnsi" w:eastAsia="標楷體" w:hAnsiTheme="minorHAnsi" w:cs="標楷體"/>
          <w:kern w:val="0"/>
        </w:rPr>
        <w:t>使用，由學</w:t>
      </w:r>
      <w:proofErr w:type="gramStart"/>
      <w:r w:rsidRPr="00846B06">
        <w:rPr>
          <w:rFonts w:asciiTheme="minorHAnsi" w:eastAsia="標楷體" w:hAnsiTheme="minorHAnsi" w:cs="標楷體"/>
          <w:kern w:val="0"/>
        </w:rPr>
        <w:t>系於系基礎</w:t>
      </w:r>
      <w:proofErr w:type="gramEnd"/>
      <w:r w:rsidRPr="00846B06">
        <w:rPr>
          <w:rFonts w:asciiTheme="minorHAnsi" w:eastAsia="標楷體" w:hAnsiTheme="minorHAnsi" w:cs="標楷體"/>
          <w:kern w:val="0"/>
        </w:rPr>
        <w:t>、系核心、系專業模組挑選之，</w:t>
      </w:r>
      <w:proofErr w:type="gramStart"/>
      <w:r w:rsidRPr="00846B06">
        <w:rPr>
          <w:rFonts w:asciiTheme="minorHAnsi" w:eastAsia="標楷體" w:hAnsiTheme="minorHAnsi" w:cs="標楷體"/>
          <w:kern w:val="0"/>
        </w:rPr>
        <w:t>不</w:t>
      </w:r>
      <w:proofErr w:type="gramEnd"/>
      <w:r w:rsidRPr="00846B06">
        <w:rPr>
          <w:rFonts w:asciiTheme="minorHAnsi" w:eastAsia="標楷體" w:hAnsiTheme="minorHAnsi" w:cs="標楷體"/>
          <w:kern w:val="0"/>
        </w:rPr>
        <w:t>另行開課。</w:t>
      </w:r>
    </w:p>
    <w:p w:rsidR="006C0FFD" w:rsidRPr="00846B06" w:rsidRDefault="006C0FFD" w:rsidP="006C0FFD">
      <w:pPr>
        <w:autoSpaceDE w:val="0"/>
        <w:autoSpaceDN w:val="0"/>
        <w:adjustRightInd w:val="0"/>
        <w:snapToGrid w:val="0"/>
        <w:ind w:leftChars="200" w:left="960" w:hangingChars="200" w:hanging="480"/>
        <w:outlineLvl w:val="1"/>
        <w:rPr>
          <w:rFonts w:asciiTheme="minorHAnsi" w:eastAsia="標楷體" w:hAnsiTheme="minorHAnsi" w:cs="標楷體"/>
          <w:kern w:val="0"/>
        </w:rPr>
      </w:pPr>
      <w:r w:rsidRPr="00846B06">
        <w:rPr>
          <w:rFonts w:asciiTheme="minorHAnsi" w:eastAsia="標楷體" w:hAnsiTheme="minorHAnsi" w:cs="標楷體"/>
          <w:kern w:val="0"/>
        </w:rPr>
        <w:t>(</w:t>
      </w:r>
      <w:r w:rsidRPr="00846B06">
        <w:rPr>
          <w:rFonts w:asciiTheme="minorHAnsi" w:eastAsia="標楷體" w:hAnsiTheme="minorHAnsi" w:cs="標楷體"/>
          <w:kern w:val="0"/>
        </w:rPr>
        <w:t>七</w:t>
      </w:r>
      <w:r w:rsidRPr="00846B06">
        <w:rPr>
          <w:rFonts w:asciiTheme="minorHAnsi" w:eastAsia="標楷體" w:hAnsiTheme="minorHAnsi" w:cs="標楷體"/>
          <w:kern w:val="0"/>
        </w:rPr>
        <w:t>)</w:t>
      </w:r>
      <w:r w:rsidRPr="00846B06">
        <w:rPr>
          <w:rFonts w:asciiTheme="minorHAnsi" w:eastAsia="標楷體" w:hAnsiTheme="minorHAnsi" w:cs="標楷體"/>
          <w:kern w:val="0"/>
        </w:rPr>
        <w:t>「跨領域模組」</w:t>
      </w:r>
      <w:r w:rsidRPr="00846B06">
        <w:rPr>
          <w:rFonts w:asciiTheme="minorHAnsi" w:eastAsia="標楷體" w:hAnsiTheme="minorHAnsi" w:cs="標楷體"/>
          <w:color w:val="000000"/>
          <w:kern w:val="0"/>
        </w:rPr>
        <w:t>：</w:t>
      </w:r>
      <w:r w:rsidRPr="00846B06">
        <w:rPr>
          <w:rFonts w:asciiTheme="minorHAnsi" w:eastAsia="標楷體" w:hAnsiTheme="minorHAnsi" w:cs="標楷體"/>
          <w:kern w:val="0"/>
        </w:rPr>
        <w:t>為鼓勵學生多元學習及培養跨領域專長能力，各學院得整合教學資源，設置</w:t>
      </w:r>
      <w:r w:rsidRPr="00846B06">
        <w:rPr>
          <w:rFonts w:asciiTheme="minorHAnsi" w:eastAsia="標楷體" w:hAnsiTheme="minorHAnsi" w:cs="標楷體"/>
          <w:color w:val="000000"/>
          <w:kern w:val="0"/>
        </w:rPr>
        <w:t>跨領域模組</w:t>
      </w:r>
      <w:r w:rsidRPr="00846B06">
        <w:rPr>
          <w:rFonts w:asciiTheme="minorHAnsi" w:eastAsia="標楷體" w:hAnsiTheme="minorHAnsi" w:cs="標楷體"/>
          <w:kern w:val="0"/>
        </w:rPr>
        <w:t>，並由跨系（院）之教師共同規劃及開課，依本校「跨領域課程模組作業原則」辦理。</w:t>
      </w:r>
    </w:p>
    <w:p w:rsidR="006C0FFD" w:rsidRPr="00846B06" w:rsidRDefault="006C0FFD" w:rsidP="006C0FFD">
      <w:pPr>
        <w:autoSpaceDE w:val="0"/>
        <w:autoSpaceDN w:val="0"/>
        <w:adjustRightInd w:val="0"/>
        <w:snapToGrid w:val="0"/>
        <w:ind w:leftChars="200" w:left="960" w:hangingChars="200" w:hanging="480"/>
        <w:outlineLvl w:val="1"/>
        <w:rPr>
          <w:rFonts w:asciiTheme="minorHAnsi" w:eastAsia="標楷體" w:hAnsiTheme="minorHAnsi" w:cs="標楷體"/>
          <w:kern w:val="0"/>
        </w:rPr>
      </w:pPr>
      <w:r w:rsidRPr="00846B06">
        <w:rPr>
          <w:rFonts w:asciiTheme="minorHAnsi" w:eastAsia="標楷體" w:hAnsiTheme="minorHAnsi" w:cs="標楷體"/>
          <w:kern w:val="0"/>
        </w:rPr>
        <w:t>(</w:t>
      </w:r>
      <w:r w:rsidRPr="00846B06">
        <w:rPr>
          <w:rFonts w:asciiTheme="minorHAnsi" w:eastAsia="標楷體" w:hAnsiTheme="minorHAnsi" w:cs="標楷體"/>
          <w:kern w:val="0"/>
        </w:rPr>
        <w:t>八</w:t>
      </w:r>
      <w:r w:rsidRPr="00846B06">
        <w:rPr>
          <w:rFonts w:asciiTheme="minorHAnsi" w:eastAsia="標楷體" w:hAnsiTheme="minorHAnsi" w:cs="標楷體"/>
          <w:kern w:val="0"/>
        </w:rPr>
        <w:t>)</w:t>
      </w:r>
      <w:r w:rsidRPr="00846B06">
        <w:rPr>
          <w:rFonts w:asciiTheme="minorHAnsi" w:eastAsia="標楷體" w:hAnsiTheme="minorHAnsi" w:cs="標楷體"/>
          <w:kern w:val="0"/>
        </w:rPr>
        <w:t>「跨領域微模組</w:t>
      </w:r>
      <w:r w:rsidRPr="00846B06">
        <w:rPr>
          <w:rFonts w:asciiTheme="minorHAnsi" w:eastAsia="標楷體" w:hAnsiTheme="minorHAnsi" w:cs="標楷體"/>
          <w:kern w:val="0"/>
        </w:rPr>
        <w:t>(</w:t>
      </w:r>
      <w:proofErr w:type="gramStart"/>
      <w:r w:rsidRPr="00846B06">
        <w:rPr>
          <w:rFonts w:asciiTheme="minorHAnsi" w:eastAsia="標楷體" w:hAnsiTheme="minorHAnsi" w:cs="標楷體"/>
          <w:kern w:val="0"/>
        </w:rPr>
        <w:t>微學程</w:t>
      </w:r>
      <w:proofErr w:type="gramEnd"/>
      <w:r w:rsidRPr="00846B06">
        <w:rPr>
          <w:rFonts w:asciiTheme="minorHAnsi" w:eastAsia="標楷體" w:hAnsiTheme="minorHAnsi" w:cs="標楷體"/>
          <w:kern w:val="0"/>
        </w:rPr>
        <w:t>)</w:t>
      </w:r>
      <w:r w:rsidRPr="00846B06">
        <w:rPr>
          <w:rFonts w:asciiTheme="minorHAnsi" w:eastAsia="標楷體" w:hAnsiTheme="minorHAnsi" w:cs="標楷體"/>
          <w:kern w:val="0"/>
        </w:rPr>
        <w:t>」：依各項計畫內容，由各開課單位自行規範開課內容及學分數。</w:t>
      </w:r>
    </w:p>
    <w:p w:rsidR="006C0FFD" w:rsidRPr="00846B06" w:rsidRDefault="006C0FFD" w:rsidP="006C0FFD">
      <w:pPr>
        <w:autoSpaceDE w:val="0"/>
        <w:autoSpaceDN w:val="0"/>
        <w:adjustRightInd w:val="0"/>
        <w:snapToGrid w:val="0"/>
        <w:ind w:leftChars="200" w:left="480"/>
        <w:outlineLvl w:val="0"/>
        <w:rPr>
          <w:rFonts w:asciiTheme="minorHAnsi" w:eastAsia="標楷體" w:hAnsiTheme="minorHAnsi" w:cs="標楷體"/>
          <w:kern w:val="0"/>
        </w:rPr>
      </w:pPr>
      <w:r w:rsidRPr="00846B06">
        <w:rPr>
          <w:rFonts w:asciiTheme="minorHAnsi" w:eastAsia="標楷體" w:hAnsiTheme="minorHAnsi" w:cs="標楷體"/>
          <w:kern w:val="0"/>
        </w:rPr>
        <w:t>專業模組、跨領域模組及副修模組須依其課程屬性於模組前冠上名稱。</w:t>
      </w:r>
    </w:p>
    <w:p w:rsidR="006C0FFD" w:rsidRPr="00B43289" w:rsidRDefault="006C0FFD" w:rsidP="006C0FFD">
      <w:pPr>
        <w:autoSpaceDE w:val="0"/>
        <w:autoSpaceDN w:val="0"/>
        <w:adjustRightInd w:val="0"/>
        <w:snapToGrid w:val="0"/>
        <w:ind w:left="480" w:hangingChars="200" w:hanging="480"/>
        <w:outlineLvl w:val="1"/>
        <w:rPr>
          <w:rFonts w:asciiTheme="minorHAnsi" w:eastAsia="標楷體" w:hAnsiTheme="minorHAnsi" w:cs="標楷體"/>
          <w:kern w:val="0"/>
        </w:rPr>
      </w:pPr>
      <w:r w:rsidRPr="00846B06">
        <w:rPr>
          <w:rFonts w:asciiTheme="minorHAnsi" w:eastAsia="標楷體" w:hAnsiTheme="minorHAnsi" w:cs="標楷體"/>
          <w:kern w:val="0"/>
        </w:rPr>
        <w:t>三、</w:t>
      </w:r>
      <w:r w:rsidR="00B43289" w:rsidRPr="00B43289">
        <w:rPr>
          <w:rFonts w:asciiTheme="minorHAnsi" w:eastAsia="標楷體" w:hAnsiTheme="minorHAnsi" w:cs="標楷體"/>
          <w:kern w:val="0"/>
        </w:rPr>
        <w:t>通識教育課程二十八學分、院共同課程六至十二學分、各模組學分數</w:t>
      </w:r>
      <w:r w:rsidR="00B43289" w:rsidRPr="00B43289">
        <w:rPr>
          <w:rFonts w:asciiTheme="minorHAnsi" w:eastAsia="標楷體" w:hAnsiTheme="minorHAnsi" w:cs="標楷體"/>
          <w:color w:val="FF0000"/>
          <w:kern w:val="0"/>
          <w:u w:val="single"/>
        </w:rPr>
        <w:t>由各學系、學位學程自訂</w:t>
      </w:r>
      <w:r w:rsidR="00B43289" w:rsidRPr="00B43289">
        <w:rPr>
          <w:rFonts w:asciiTheme="minorHAnsi" w:eastAsia="標楷體" w:hAnsiTheme="minorHAnsi" w:cs="標楷體"/>
          <w:color w:val="000000" w:themeColor="text1"/>
          <w:kern w:val="0"/>
        </w:rPr>
        <w:t>，院共同課程、系基礎模組、系核心模組及系專業模組總計以八十學</w:t>
      </w:r>
      <w:r w:rsidR="00B43289" w:rsidRPr="00B43289">
        <w:rPr>
          <w:rFonts w:asciiTheme="minorHAnsi" w:eastAsia="標楷體" w:hAnsiTheme="minorHAnsi" w:cs="標楷體"/>
          <w:kern w:val="0"/>
        </w:rPr>
        <w:t>分為</w:t>
      </w:r>
      <w:r w:rsidR="00B43289" w:rsidRPr="00B43289">
        <w:rPr>
          <w:rFonts w:asciiTheme="minorHAnsi" w:eastAsia="標楷體" w:hAnsiTheme="minorHAnsi" w:cs="標楷體"/>
          <w:color w:val="FF0000"/>
          <w:kern w:val="0"/>
          <w:u w:val="single"/>
        </w:rPr>
        <w:t>原則</w:t>
      </w:r>
      <w:r w:rsidR="00B43289" w:rsidRPr="00B43289">
        <w:rPr>
          <w:rFonts w:asciiTheme="minorHAnsi" w:eastAsia="標楷體" w:hAnsiTheme="minorHAnsi" w:cs="標楷體" w:hint="eastAsia"/>
          <w:color w:val="FF0000"/>
          <w:kern w:val="0"/>
          <w:u w:val="single"/>
        </w:rPr>
        <w:t>，如需於畢業證書上加</w:t>
      </w:r>
      <w:proofErr w:type="gramStart"/>
      <w:r w:rsidR="00B43289" w:rsidRPr="00B43289">
        <w:rPr>
          <w:rFonts w:asciiTheme="minorHAnsi" w:eastAsia="標楷體" w:hAnsiTheme="minorHAnsi" w:cs="標楷體" w:hint="eastAsia"/>
          <w:color w:val="FF0000"/>
          <w:kern w:val="0"/>
          <w:u w:val="single"/>
        </w:rPr>
        <w:t>註</w:t>
      </w:r>
      <w:proofErr w:type="gramEnd"/>
      <w:r w:rsidR="00B43289" w:rsidRPr="00B43289">
        <w:rPr>
          <w:rFonts w:asciiTheme="minorHAnsi" w:eastAsia="標楷體" w:hAnsiTheme="minorHAnsi" w:cs="標楷體" w:hint="eastAsia"/>
          <w:color w:val="FF0000"/>
          <w:kern w:val="0"/>
          <w:u w:val="single"/>
        </w:rPr>
        <w:t>專業模組者，應修畢完整專業模組學分數為十五至二十四學分</w:t>
      </w:r>
      <w:r w:rsidR="00B43289" w:rsidRPr="00846B06">
        <w:rPr>
          <w:rFonts w:asciiTheme="minorHAnsi" w:eastAsia="標楷體" w:hAnsiTheme="minorHAnsi" w:cs="標楷體"/>
          <w:kern w:val="0"/>
        </w:rPr>
        <w:t>。</w:t>
      </w:r>
    </w:p>
    <w:p w:rsidR="006C0FFD" w:rsidRPr="00846B06" w:rsidRDefault="006C0FFD" w:rsidP="006C0FFD">
      <w:pPr>
        <w:autoSpaceDE w:val="0"/>
        <w:autoSpaceDN w:val="0"/>
        <w:adjustRightInd w:val="0"/>
        <w:snapToGrid w:val="0"/>
        <w:ind w:leftChars="200" w:left="480"/>
        <w:outlineLvl w:val="1"/>
        <w:rPr>
          <w:rFonts w:asciiTheme="minorHAnsi" w:eastAsia="標楷體" w:hAnsiTheme="minorHAnsi" w:cs="標楷體"/>
          <w:kern w:val="0"/>
        </w:rPr>
      </w:pPr>
      <w:r w:rsidRPr="00846B06">
        <w:rPr>
          <w:rFonts w:asciiTheme="minorHAnsi" w:eastAsia="標楷體" w:hAnsiTheme="minorHAnsi" w:cs="標楷體"/>
          <w:kern w:val="0"/>
        </w:rPr>
        <w:t>依師資職前教育專業課程規劃之模組得以本校報部課程綱要之學分數計算，不受前項模組學分數之限制。</w:t>
      </w:r>
    </w:p>
    <w:p w:rsidR="006C0FFD" w:rsidRPr="00846B06" w:rsidRDefault="006C0FFD" w:rsidP="006C0FFD">
      <w:pPr>
        <w:autoSpaceDE w:val="0"/>
        <w:autoSpaceDN w:val="0"/>
        <w:adjustRightInd w:val="0"/>
        <w:snapToGrid w:val="0"/>
        <w:ind w:left="480" w:hangingChars="200" w:hanging="480"/>
        <w:outlineLvl w:val="0"/>
        <w:rPr>
          <w:rFonts w:asciiTheme="minorHAnsi" w:eastAsia="標楷體" w:hAnsiTheme="minorHAnsi" w:cs="標楷體"/>
          <w:kern w:val="0"/>
        </w:rPr>
      </w:pPr>
      <w:r w:rsidRPr="00846B06">
        <w:rPr>
          <w:rFonts w:asciiTheme="minorHAnsi" w:eastAsia="標楷體" w:hAnsiTheme="minorHAnsi" w:cs="標楷體"/>
          <w:kern w:val="0"/>
        </w:rPr>
        <w:t>四、模組須以模組學分數為基礎計算規劃課程數：必修課程學分數乘以一，選修課程學分數乘以一點八</w:t>
      </w:r>
      <w:r w:rsidRPr="00846B06">
        <w:rPr>
          <w:rFonts w:asciiTheme="minorHAnsi" w:eastAsia="標楷體" w:hAnsiTheme="minorHAnsi" w:cs="標楷體"/>
          <w:kern w:val="0"/>
        </w:rPr>
        <w:t>(</w:t>
      </w:r>
      <w:r w:rsidRPr="00846B06">
        <w:rPr>
          <w:rFonts w:asciiTheme="minorHAnsi" w:eastAsia="標楷體" w:hAnsiTheme="minorHAnsi" w:cs="標楷體"/>
          <w:kern w:val="0"/>
        </w:rPr>
        <w:t>學分數換算成</w:t>
      </w:r>
      <w:proofErr w:type="gramStart"/>
      <w:r w:rsidRPr="00846B06">
        <w:rPr>
          <w:rFonts w:asciiTheme="minorHAnsi" w:eastAsia="標楷體" w:hAnsiTheme="minorHAnsi" w:cs="標楷體"/>
          <w:kern w:val="0"/>
        </w:rPr>
        <w:t>課程數後所</w:t>
      </w:r>
      <w:proofErr w:type="gramEnd"/>
      <w:r w:rsidRPr="00846B06">
        <w:rPr>
          <w:rFonts w:asciiTheme="minorHAnsi" w:eastAsia="標楷體" w:hAnsiTheme="minorHAnsi" w:cs="標楷體"/>
          <w:kern w:val="0"/>
        </w:rPr>
        <w:t>剩餘學分，以一門課計算</w:t>
      </w:r>
      <w:r w:rsidRPr="00846B06">
        <w:rPr>
          <w:rFonts w:asciiTheme="minorHAnsi" w:eastAsia="標楷體" w:hAnsiTheme="minorHAnsi" w:cs="標楷體"/>
          <w:kern w:val="0"/>
        </w:rPr>
        <w:t>)</w:t>
      </w:r>
      <w:r w:rsidRPr="00846B06">
        <w:rPr>
          <w:rFonts w:asciiTheme="minorHAnsi" w:eastAsia="標楷體" w:hAnsiTheme="minorHAnsi" w:cs="標楷體"/>
          <w:kern w:val="0"/>
        </w:rPr>
        <w:t>。</w:t>
      </w:r>
    </w:p>
    <w:p w:rsidR="006C0FFD" w:rsidRPr="00846B06" w:rsidRDefault="006C0FFD" w:rsidP="006C0FFD">
      <w:pPr>
        <w:autoSpaceDE w:val="0"/>
        <w:autoSpaceDN w:val="0"/>
        <w:adjustRightInd w:val="0"/>
        <w:snapToGrid w:val="0"/>
        <w:ind w:left="480" w:hangingChars="200" w:hanging="480"/>
        <w:rPr>
          <w:rFonts w:asciiTheme="minorHAnsi" w:eastAsia="標楷體" w:hAnsiTheme="minorHAnsi" w:cs="標楷體"/>
          <w:kern w:val="0"/>
        </w:rPr>
      </w:pPr>
      <w:r w:rsidRPr="00846B06">
        <w:rPr>
          <w:rFonts w:asciiTheme="minorHAnsi" w:eastAsia="標楷體" w:hAnsiTheme="minorHAnsi" w:cs="標楷體"/>
          <w:kern w:val="0"/>
        </w:rPr>
        <w:t>五、各學系規劃模組應結合學系之「生涯</w:t>
      </w:r>
      <w:proofErr w:type="gramStart"/>
      <w:r w:rsidRPr="00846B06">
        <w:rPr>
          <w:rFonts w:asciiTheme="minorHAnsi" w:eastAsia="標楷體" w:hAnsiTheme="minorHAnsi" w:cs="標楷體"/>
          <w:kern w:val="0"/>
        </w:rPr>
        <w:t>進路圖</w:t>
      </w:r>
      <w:proofErr w:type="gramEnd"/>
      <w:r w:rsidRPr="00846B06">
        <w:rPr>
          <w:rFonts w:asciiTheme="minorHAnsi" w:eastAsia="標楷體" w:hAnsiTheme="minorHAnsi" w:cs="標楷體"/>
          <w:kern w:val="0"/>
        </w:rPr>
        <w:t>」，課程之間須依邏輯性製作「課程</w:t>
      </w:r>
      <w:proofErr w:type="gramStart"/>
      <w:r w:rsidRPr="00846B06">
        <w:rPr>
          <w:rFonts w:asciiTheme="minorHAnsi" w:eastAsia="標楷體" w:hAnsiTheme="minorHAnsi" w:cs="標楷體"/>
          <w:kern w:val="0"/>
        </w:rPr>
        <w:t>進路圖</w:t>
      </w:r>
      <w:proofErr w:type="gramEnd"/>
      <w:r w:rsidRPr="00846B06">
        <w:rPr>
          <w:rFonts w:asciiTheme="minorHAnsi" w:eastAsia="標楷體" w:hAnsiTheme="minorHAnsi" w:cs="標楷體"/>
          <w:kern w:val="0"/>
        </w:rPr>
        <w:t>」，每門課程須作成「課程簡介」。</w:t>
      </w:r>
    </w:p>
    <w:p w:rsidR="006C0FFD" w:rsidRPr="00846B06" w:rsidRDefault="006C0FFD" w:rsidP="006C0FFD">
      <w:pPr>
        <w:autoSpaceDE w:val="0"/>
        <w:autoSpaceDN w:val="0"/>
        <w:adjustRightInd w:val="0"/>
        <w:snapToGrid w:val="0"/>
        <w:ind w:left="480"/>
        <w:rPr>
          <w:rFonts w:asciiTheme="minorHAnsi" w:eastAsia="標楷體" w:hAnsiTheme="minorHAnsi" w:cs="標楷體"/>
          <w:kern w:val="0"/>
        </w:rPr>
      </w:pPr>
      <w:r w:rsidRPr="00846B06">
        <w:rPr>
          <w:rFonts w:asciiTheme="minorHAnsi" w:eastAsia="標楷體" w:hAnsiTheme="minorHAnsi" w:cs="標楷體"/>
          <w:kern w:val="0"/>
        </w:rPr>
        <w:t>專業模組及跨領域模組由任課老師組成委員會，並選出</w:t>
      </w:r>
      <w:proofErr w:type="gramStart"/>
      <w:r w:rsidRPr="00846B06">
        <w:rPr>
          <w:rFonts w:asciiTheme="minorHAnsi" w:eastAsia="標楷體" w:hAnsiTheme="minorHAnsi" w:cs="標楷體"/>
          <w:kern w:val="0"/>
        </w:rPr>
        <w:t>一</w:t>
      </w:r>
      <w:proofErr w:type="gramEnd"/>
      <w:r w:rsidRPr="00846B06">
        <w:rPr>
          <w:rFonts w:asciiTheme="minorHAnsi" w:eastAsia="標楷體" w:hAnsiTheme="minorHAnsi" w:cs="標楷體"/>
          <w:kern w:val="0"/>
        </w:rPr>
        <w:t>召集人負責模組運作事宜。</w:t>
      </w:r>
    </w:p>
    <w:p w:rsidR="006C0FFD" w:rsidRPr="00846B06" w:rsidRDefault="006C0FFD" w:rsidP="006C0FFD">
      <w:pPr>
        <w:autoSpaceDE w:val="0"/>
        <w:autoSpaceDN w:val="0"/>
        <w:adjustRightInd w:val="0"/>
        <w:snapToGrid w:val="0"/>
        <w:ind w:left="480" w:hangingChars="200" w:hanging="480"/>
        <w:rPr>
          <w:rFonts w:asciiTheme="minorHAnsi" w:eastAsia="標楷體" w:hAnsiTheme="minorHAnsi" w:cs="標楷體"/>
          <w:kern w:val="0"/>
        </w:rPr>
      </w:pPr>
      <w:r w:rsidRPr="00846B06">
        <w:rPr>
          <w:rFonts w:asciiTheme="minorHAnsi" w:eastAsia="標楷體" w:hAnsiTheme="minorHAnsi" w:cs="標楷體"/>
          <w:kern w:val="0"/>
        </w:rPr>
        <w:t>六、學士班學生需</w:t>
      </w:r>
      <w:proofErr w:type="gramStart"/>
      <w:r w:rsidRPr="00846B06">
        <w:rPr>
          <w:rFonts w:asciiTheme="minorHAnsi" w:eastAsia="標楷體" w:hAnsiTheme="minorHAnsi" w:cs="標楷體"/>
          <w:kern w:val="0"/>
        </w:rPr>
        <w:t>修滿通識</w:t>
      </w:r>
      <w:proofErr w:type="gramEnd"/>
      <w:r w:rsidRPr="00846B06">
        <w:rPr>
          <w:rFonts w:asciiTheme="minorHAnsi" w:eastAsia="標楷體" w:hAnsiTheme="minorHAnsi" w:cs="標楷體"/>
          <w:kern w:val="0"/>
        </w:rPr>
        <w:t>教育課程、院共同課程、及所屬學系之基礎模組、核心模組、專業模組、及自由選修，且畢業總學分達一百二十八學分以上，始得畢業；專業模組修課方式由各學系、學位學程於課程綱要訂定。</w:t>
      </w:r>
    </w:p>
    <w:p w:rsidR="006C0FFD" w:rsidRPr="00846B06" w:rsidRDefault="006C0FFD" w:rsidP="006C0FFD">
      <w:pPr>
        <w:autoSpaceDE w:val="0"/>
        <w:autoSpaceDN w:val="0"/>
        <w:adjustRightInd w:val="0"/>
        <w:snapToGrid w:val="0"/>
        <w:ind w:left="480" w:hangingChars="200" w:hanging="480"/>
        <w:rPr>
          <w:rFonts w:asciiTheme="minorHAnsi" w:eastAsia="標楷體" w:hAnsiTheme="minorHAnsi" w:cs="標楷體"/>
          <w:kern w:val="0"/>
        </w:rPr>
      </w:pPr>
      <w:r w:rsidRPr="00846B06">
        <w:rPr>
          <w:rFonts w:asciiTheme="minorHAnsi" w:eastAsia="標楷體" w:hAnsiTheme="minorHAnsi" w:cs="標楷體"/>
          <w:kern w:val="0"/>
        </w:rPr>
        <w:t>七、不同模組中等同課程可經模組所屬單位審查同意認列，以滿足不同模組計算需求，惟認列課程在畢業學分總計中只能計算一次。</w:t>
      </w:r>
    </w:p>
    <w:p w:rsidR="006C0FFD" w:rsidRPr="00846B06" w:rsidRDefault="006C0FFD" w:rsidP="006C0FFD">
      <w:pPr>
        <w:autoSpaceDE w:val="0"/>
        <w:autoSpaceDN w:val="0"/>
        <w:adjustRightInd w:val="0"/>
        <w:snapToGrid w:val="0"/>
        <w:ind w:left="480" w:hangingChars="200" w:hanging="480"/>
        <w:rPr>
          <w:rFonts w:asciiTheme="minorHAnsi" w:eastAsia="標楷體" w:hAnsiTheme="minorHAnsi" w:cs="標楷體"/>
          <w:kern w:val="0"/>
          <w:shd w:val="pct15" w:color="auto" w:fill="FFFFFF"/>
        </w:rPr>
      </w:pPr>
      <w:r w:rsidRPr="00846B06">
        <w:rPr>
          <w:rFonts w:asciiTheme="minorHAnsi" w:eastAsia="標楷體" w:hAnsiTheme="minorHAnsi" w:cs="標楷體"/>
          <w:kern w:val="0"/>
        </w:rPr>
        <w:t>八、學位證書除所屬學系之學位證明外，如修畢完整專業模組、跨領域模組、本系以外之副修模組，皆可加</w:t>
      </w:r>
      <w:proofErr w:type="gramStart"/>
      <w:r w:rsidRPr="00846B06">
        <w:rPr>
          <w:rFonts w:asciiTheme="minorHAnsi" w:eastAsia="標楷體" w:hAnsiTheme="minorHAnsi" w:cs="標楷體"/>
          <w:kern w:val="0"/>
        </w:rPr>
        <w:t>註</w:t>
      </w:r>
      <w:proofErr w:type="gramEnd"/>
      <w:r w:rsidRPr="00846B06">
        <w:rPr>
          <w:rFonts w:asciiTheme="minorHAnsi" w:eastAsia="標楷體" w:hAnsiTheme="minorHAnsi" w:cs="標楷體"/>
          <w:kern w:val="0"/>
        </w:rPr>
        <w:t>於學位證書上。</w:t>
      </w:r>
    </w:p>
    <w:p w:rsidR="006C0FFD" w:rsidRPr="00846B06" w:rsidRDefault="006C0FFD" w:rsidP="006C0FFD">
      <w:pPr>
        <w:autoSpaceDE w:val="0"/>
        <w:autoSpaceDN w:val="0"/>
        <w:adjustRightInd w:val="0"/>
        <w:snapToGrid w:val="0"/>
        <w:ind w:left="480" w:hangingChars="200" w:hanging="480"/>
        <w:rPr>
          <w:rFonts w:asciiTheme="minorHAnsi" w:eastAsia="標楷體" w:hAnsiTheme="minorHAnsi" w:cs="標楷體"/>
          <w:kern w:val="0"/>
        </w:rPr>
      </w:pPr>
      <w:r w:rsidRPr="00846B06">
        <w:rPr>
          <w:rFonts w:asciiTheme="minorHAnsi" w:eastAsia="標楷體" w:hAnsiTheme="minorHAnsi" w:cs="標楷體"/>
          <w:kern w:val="0"/>
        </w:rPr>
        <w:lastRenderedPageBreak/>
        <w:t>九、學生選修模組課程依本校之選課要點選課，須於大四上學期註冊日起</w:t>
      </w:r>
      <w:proofErr w:type="gramStart"/>
      <w:r w:rsidRPr="00846B06">
        <w:rPr>
          <w:rFonts w:asciiTheme="minorHAnsi" w:eastAsia="標楷體" w:hAnsiTheme="minorHAnsi" w:cs="標楷體"/>
          <w:kern w:val="0"/>
        </w:rPr>
        <w:t>一週</w:t>
      </w:r>
      <w:proofErr w:type="gramEnd"/>
      <w:r w:rsidRPr="00846B06">
        <w:rPr>
          <w:rFonts w:asciiTheme="minorHAnsi" w:eastAsia="標楷體" w:hAnsiTheme="minorHAnsi" w:cs="標楷體"/>
          <w:kern w:val="0"/>
        </w:rPr>
        <w:t>內將所選擇修習模組及課程輸入教務處系統，以利各學系及行政單位辦理審查。平時則可自行利用此系統進行檢核，查詢應修、未修科目及可取得之模組及學位等資訊。</w:t>
      </w:r>
    </w:p>
    <w:p w:rsidR="006C0FFD" w:rsidRPr="00846B06" w:rsidRDefault="006C0FFD" w:rsidP="006C0FFD">
      <w:pPr>
        <w:autoSpaceDE w:val="0"/>
        <w:autoSpaceDN w:val="0"/>
        <w:adjustRightInd w:val="0"/>
        <w:snapToGrid w:val="0"/>
        <w:ind w:left="480" w:hangingChars="200" w:hanging="480"/>
        <w:rPr>
          <w:rFonts w:asciiTheme="minorHAnsi" w:eastAsia="標楷體" w:hAnsiTheme="minorHAnsi" w:cs="標楷體"/>
          <w:kern w:val="0"/>
        </w:rPr>
      </w:pPr>
      <w:r w:rsidRPr="00846B06">
        <w:rPr>
          <w:rFonts w:asciiTheme="minorHAnsi" w:eastAsia="標楷體" w:hAnsiTheme="minorHAnsi" w:cs="標楷體"/>
          <w:kern w:val="0"/>
        </w:rPr>
        <w:t>十、課程模組化制度實施後與舊制度並存之過渡時期內可依以下規定辦理：</w:t>
      </w:r>
    </w:p>
    <w:p w:rsidR="006C0FFD" w:rsidRPr="00846B06" w:rsidRDefault="006C0FFD" w:rsidP="006C0FFD">
      <w:pPr>
        <w:autoSpaceDE w:val="0"/>
        <w:autoSpaceDN w:val="0"/>
        <w:adjustRightInd w:val="0"/>
        <w:snapToGrid w:val="0"/>
        <w:ind w:leftChars="200" w:left="960" w:hangingChars="200" w:hanging="480"/>
        <w:outlineLvl w:val="1"/>
        <w:rPr>
          <w:rFonts w:asciiTheme="minorHAnsi" w:eastAsia="標楷體" w:hAnsiTheme="minorHAnsi" w:cs="標楷體"/>
          <w:kern w:val="0"/>
        </w:rPr>
      </w:pPr>
      <w:r w:rsidRPr="00846B06">
        <w:rPr>
          <w:rFonts w:asciiTheme="minorHAnsi" w:eastAsia="標楷體" w:hAnsiTheme="minorHAnsi" w:cs="標楷體"/>
          <w:kern w:val="0"/>
        </w:rPr>
        <w:t>(</w:t>
      </w:r>
      <w:proofErr w:type="gramStart"/>
      <w:r w:rsidRPr="00846B06">
        <w:rPr>
          <w:rFonts w:asciiTheme="minorHAnsi" w:eastAsia="標楷體" w:hAnsiTheme="minorHAnsi" w:cs="標楷體"/>
          <w:kern w:val="0"/>
        </w:rPr>
        <w:t>一</w:t>
      </w:r>
      <w:proofErr w:type="gramEnd"/>
      <w:r w:rsidRPr="00846B06">
        <w:rPr>
          <w:rFonts w:asciiTheme="minorHAnsi" w:eastAsia="標楷體" w:hAnsiTheme="minorHAnsi" w:cs="標楷體"/>
          <w:kern w:val="0"/>
        </w:rPr>
        <w:t>)</w:t>
      </w:r>
      <w:proofErr w:type="gramStart"/>
      <w:r w:rsidRPr="00846B06">
        <w:rPr>
          <w:rFonts w:asciiTheme="minorHAnsi" w:eastAsia="標楷體" w:hAnsiTheme="minorHAnsi" w:cs="標楷體"/>
          <w:kern w:val="0"/>
        </w:rPr>
        <w:t>可加修完成</w:t>
      </w:r>
      <w:proofErr w:type="gramEnd"/>
      <w:r w:rsidRPr="00846B06">
        <w:rPr>
          <w:rFonts w:asciiTheme="minorHAnsi" w:eastAsia="標楷體" w:hAnsiTheme="minorHAnsi" w:cs="標楷體"/>
          <w:kern w:val="0"/>
        </w:rPr>
        <w:t>其他一系之副修模組作為副修。</w:t>
      </w:r>
    </w:p>
    <w:p w:rsidR="006C0FFD" w:rsidRPr="00846B06" w:rsidRDefault="006C0FFD" w:rsidP="006C0FFD">
      <w:pPr>
        <w:autoSpaceDE w:val="0"/>
        <w:autoSpaceDN w:val="0"/>
        <w:adjustRightInd w:val="0"/>
        <w:snapToGrid w:val="0"/>
        <w:ind w:leftChars="199" w:left="848" w:hangingChars="154" w:hanging="370"/>
        <w:outlineLvl w:val="1"/>
        <w:rPr>
          <w:rFonts w:asciiTheme="minorHAnsi" w:eastAsia="標楷體" w:hAnsiTheme="minorHAnsi" w:cs="標楷體"/>
          <w:kern w:val="0"/>
        </w:rPr>
      </w:pPr>
      <w:r w:rsidRPr="00846B06">
        <w:rPr>
          <w:rFonts w:asciiTheme="minorHAnsi" w:eastAsia="標楷體" w:hAnsiTheme="minorHAnsi" w:cs="標楷體"/>
          <w:kern w:val="0"/>
        </w:rPr>
        <w:t>(</w:t>
      </w:r>
      <w:r w:rsidRPr="00846B06">
        <w:rPr>
          <w:rFonts w:asciiTheme="minorHAnsi" w:eastAsia="標楷體" w:hAnsiTheme="minorHAnsi" w:cs="標楷體"/>
          <w:kern w:val="0"/>
        </w:rPr>
        <w:t>二</w:t>
      </w:r>
      <w:r w:rsidRPr="00846B06">
        <w:rPr>
          <w:rFonts w:asciiTheme="minorHAnsi" w:eastAsia="標楷體" w:hAnsiTheme="minorHAnsi" w:cs="標楷體"/>
          <w:kern w:val="0"/>
        </w:rPr>
        <w:t>)</w:t>
      </w:r>
      <w:r w:rsidRPr="00846B06">
        <w:rPr>
          <w:rFonts w:asciiTheme="minorHAnsi" w:eastAsia="標楷體" w:hAnsiTheme="minorHAnsi" w:cs="標楷體"/>
          <w:kern w:val="0"/>
        </w:rPr>
        <w:t>關於學生的課程追認、</w:t>
      </w:r>
      <w:proofErr w:type="gramStart"/>
      <w:r w:rsidRPr="00846B06">
        <w:rPr>
          <w:rFonts w:asciiTheme="minorHAnsi" w:eastAsia="標楷體" w:hAnsiTheme="minorHAnsi" w:cs="標楷體"/>
          <w:kern w:val="0"/>
        </w:rPr>
        <w:t>抵免等申請</w:t>
      </w:r>
      <w:proofErr w:type="gramEnd"/>
      <w:r w:rsidRPr="00846B06">
        <w:rPr>
          <w:rFonts w:asciiTheme="minorHAnsi" w:eastAsia="標楷體" w:hAnsiTheme="minorHAnsi" w:cs="標楷體"/>
          <w:kern w:val="0"/>
        </w:rPr>
        <w:t>，由各學系自行辦理並進行審查。</w:t>
      </w:r>
      <w:proofErr w:type="gramStart"/>
      <w:r w:rsidRPr="00846B06">
        <w:rPr>
          <w:rFonts w:asciiTheme="minorHAnsi" w:eastAsia="標楷體" w:hAnsiTheme="minorHAnsi" w:cs="標楷體"/>
          <w:kern w:val="0"/>
        </w:rPr>
        <w:t>此外，</w:t>
      </w:r>
      <w:proofErr w:type="gramEnd"/>
      <w:r w:rsidRPr="00846B06">
        <w:rPr>
          <w:rFonts w:asciiTheme="minorHAnsi" w:eastAsia="標楷體" w:hAnsiTheme="minorHAnsi" w:cs="標楷體"/>
          <w:kern w:val="0"/>
        </w:rPr>
        <w:t>針對課程異動部分，</w:t>
      </w:r>
      <w:proofErr w:type="gramStart"/>
      <w:r w:rsidRPr="00846B06">
        <w:rPr>
          <w:rFonts w:asciiTheme="minorHAnsi" w:eastAsia="標楷體" w:hAnsiTheme="minorHAnsi" w:cs="標楷體"/>
          <w:kern w:val="0"/>
        </w:rPr>
        <w:t>凡系上</w:t>
      </w:r>
      <w:proofErr w:type="gramEnd"/>
      <w:r w:rsidRPr="00846B06">
        <w:rPr>
          <w:rFonts w:asciiTheme="minorHAnsi" w:eastAsia="標楷體" w:hAnsiTheme="minorHAnsi" w:cs="標楷體"/>
          <w:kern w:val="0"/>
        </w:rPr>
        <w:t>所訂定</w:t>
      </w:r>
      <w:proofErr w:type="gramStart"/>
      <w:r w:rsidRPr="00846B06">
        <w:rPr>
          <w:rFonts w:asciiTheme="minorHAnsi" w:eastAsia="標楷體" w:hAnsiTheme="minorHAnsi" w:cs="標楷體"/>
          <w:kern w:val="0"/>
        </w:rPr>
        <w:t>等同或抵免</w:t>
      </w:r>
      <w:proofErr w:type="gramEnd"/>
      <w:r w:rsidRPr="00846B06">
        <w:rPr>
          <w:rFonts w:asciiTheme="minorHAnsi" w:eastAsia="標楷體" w:hAnsiTheme="minorHAnsi" w:cs="標楷體"/>
          <w:kern w:val="0"/>
        </w:rPr>
        <w:t>之課程均可列計畢業學分數，惟可否重複修習</w:t>
      </w:r>
      <w:proofErr w:type="gramStart"/>
      <w:r w:rsidRPr="00846B06">
        <w:rPr>
          <w:rFonts w:asciiTheme="minorHAnsi" w:eastAsia="標楷體" w:hAnsiTheme="minorHAnsi" w:cs="標楷體"/>
          <w:kern w:val="0"/>
        </w:rPr>
        <w:t>併同時列記畢業</w:t>
      </w:r>
      <w:proofErr w:type="gramEnd"/>
      <w:r w:rsidRPr="00846B06">
        <w:rPr>
          <w:rFonts w:asciiTheme="minorHAnsi" w:eastAsia="標楷體" w:hAnsiTheme="minorHAnsi" w:cs="標楷體"/>
          <w:kern w:val="0"/>
        </w:rPr>
        <w:t>學分數，各學系應清楚規範。</w:t>
      </w:r>
    </w:p>
    <w:p w:rsidR="006C0FFD" w:rsidRPr="00846B06" w:rsidRDefault="006C0FFD" w:rsidP="006C0FFD">
      <w:pPr>
        <w:autoSpaceDE w:val="0"/>
        <w:autoSpaceDN w:val="0"/>
        <w:adjustRightInd w:val="0"/>
        <w:snapToGrid w:val="0"/>
        <w:ind w:left="720" w:hangingChars="300" w:hanging="720"/>
        <w:rPr>
          <w:rFonts w:asciiTheme="minorHAnsi" w:eastAsia="標楷體" w:hAnsiTheme="minorHAnsi" w:cs="標楷體"/>
          <w:kern w:val="0"/>
        </w:rPr>
      </w:pPr>
      <w:r w:rsidRPr="00846B06">
        <w:rPr>
          <w:rFonts w:asciiTheme="minorHAnsi" w:eastAsia="標楷體" w:hAnsiTheme="minorHAnsi" w:cs="標楷體"/>
          <w:kern w:val="0"/>
        </w:rPr>
        <w:t>十一、學院</w:t>
      </w:r>
      <w:proofErr w:type="gramStart"/>
      <w:r w:rsidRPr="00846B06">
        <w:rPr>
          <w:rFonts w:asciiTheme="minorHAnsi" w:eastAsia="標楷體" w:hAnsiTheme="minorHAnsi" w:cs="標楷體"/>
          <w:kern w:val="0"/>
        </w:rPr>
        <w:t>院</w:t>
      </w:r>
      <w:proofErr w:type="gramEnd"/>
      <w:r w:rsidRPr="00846B06">
        <w:rPr>
          <w:rFonts w:asciiTheme="minorHAnsi" w:eastAsia="標楷體" w:hAnsiTheme="minorHAnsi" w:cs="標楷體"/>
          <w:kern w:val="0"/>
        </w:rPr>
        <w:t>共同課程、跨領域模組，及學系、學位學程之模組修訂應經系級、院級課程委員會通過後，</w:t>
      </w:r>
      <w:proofErr w:type="gramStart"/>
      <w:r w:rsidRPr="00846B06">
        <w:rPr>
          <w:rFonts w:asciiTheme="minorHAnsi" w:eastAsia="標楷體" w:hAnsiTheme="minorHAnsi" w:cs="標楷體"/>
          <w:kern w:val="0"/>
        </w:rPr>
        <w:t>提送校級</w:t>
      </w:r>
      <w:proofErr w:type="gramEnd"/>
      <w:r w:rsidRPr="00846B06">
        <w:rPr>
          <w:rFonts w:asciiTheme="minorHAnsi" w:eastAsia="標楷體" w:hAnsiTheme="minorHAnsi" w:cs="標楷體"/>
          <w:kern w:val="0"/>
        </w:rPr>
        <w:t>課程委員會審議。</w:t>
      </w:r>
    </w:p>
    <w:p w:rsidR="006C0FFD" w:rsidRPr="00846B06" w:rsidRDefault="006C0FFD" w:rsidP="006C0FFD">
      <w:pPr>
        <w:adjustRightInd w:val="0"/>
        <w:snapToGrid w:val="0"/>
        <w:spacing w:line="360" w:lineRule="exact"/>
        <w:ind w:left="900" w:hangingChars="375" w:hanging="900"/>
        <w:rPr>
          <w:rFonts w:asciiTheme="minorHAnsi" w:eastAsia="標楷體" w:hAnsiTheme="minorHAnsi"/>
          <w:color w:val="000000"/>
          <w:kern w:val="0"/>
        </w:rPr>
      </w:pPr>
      <w:r w:rsidRPr="00846B06">
        <w:rPr>
          <w:rFonts w:asciiTheme="minorHAnsi" w:eastAsia="標楷體" w:hAnsiTheme="minorHAnsi" w:cs="標楷體"/>
          <w:kern w:val="0"/>
          <w:szCs w:val="20"/>
        </w:rPr>
        <w:t>十二、本要點經教務會議通過，校長核定後發布實施，修正時亦同。</w:t>
      </w:r>
    </w:p>
    <w:p w:rsidR="00EF3501" w:rsidRPr="006C0FFD" w:rsidRDefault="00EF3501" w:rsidP="006C0FFD">
      <w:bookmarkStart w:id="0" w:name="_GoBack"/>
      <w:bookmarkEnd w:id="0"/>
    </w:p>
    <w:sectPr w:rsidR="00EF3501" w:rsidRPr="006C0FFD" w:rsidSect="006C0FFD">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033FCA"/>
    <w:multiLevelType w:val="hybridMultilevel"/>
    <w:tmpl w:val="F2AC655E"/>
    <w:lvl w:ilvl="0" w:tplc="2700B3F0">
      <w:start w:val="1"/>
      <w:numFmt w:val="taiwaneseCountingThousand"/>
      <w:lvlText w:val="%1、"/>
      <w:lvlJc w:val="left"/>
      <w:pPr>
        <w:ind w:left="1284" w:hanging="720"/>
      </w:pPr>
      <w:rPr>
        <w:rFonts w:cs="Times New Roman" w:hint="default"/>
        <w:b/>
        <w:sz w:val="24"/>
        <w:szCs w:val="24"/>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FFD"/>
    <w:rsid w:val="00162597"/>
    <w:rsid w:val="004B6750"/>
    <w:rsid w:val="006C0FFD"/>
    <w:rsid w:val="009250F7"/>
    <w:rsid w:val="00B43289"/>
    <w:rsid w:val="00EF35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D9703-F21F-4833-A767-3664EDE1E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FF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
    <w:basedOn w:val="a"/>
    <w:link w:val="a4"/>
    <w:uiPriority w:val="34"/>
    <w:qFormat/>
    <w:rsid w:val="006C0FFD"/>
    <w:pPr>
      <w:ind w:leftChars="200" w:left="480"/>
    </w:pPr>
  </w:style>
  <w:style w:type="character" w:customStyle="1" w:styleId="a4">
    <w:name w:val="清單段落 字元"/>
    <w:aliases w:val="卑南壹 字元"/>
    <w:link w:val="a3"/>
    <w:uiPriority w:val="34"/>
    <w:qFormat/>
    <w:locked/>
    <w:rsid w:val="006C0FFD"/>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2021-01-04T02:22:00Z</dcterms:created>
  <dcterms:modified xsi:type="dcterms:W3CDTF">2021-01-04T02:32:00Z</dcterms:modified>
</cp:coreProperties>
</file>