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54" w:rsidRPr="000F3BCB" w:rsidRDefault="00632254" w:rsidP="00632254">
      <w:pPr>
        <w:snapToGrid w:val="0"/>
        <w:jc w:val="center"/>
        <w:rPr>
          <w:rStyle w:val="a6"/>
          <w:rFonts w:ascii="Times New Roman" w:eastAsia="標楷體" w:hAnsi="Times New Roman"/>
          <w:sz w:val="36"/>
          <w:szCs w:val="36"/>
        </w:rPr>
      </w:pPr>
      <w:r w:rsidRPr="000F3BCB">
        <w:rPr>
          <w:rStyle w:val="a6"/>
          <w:rFonts w:ascii="Times New Roman" w:eastAsia="標楷體" w:hAnsi="Times New Roman"/>
          <w:sz w:val="36"/>
          <w:szCs w:val="36"/>
        </w:rPr>
        <w:t>國立</w:t>
      </w:r>
      <w:proofErr w:type="gramStart"/>
      <w:r w:rsidRPr="000F3BCB">
        <w:rPr>
          <w:rStyle w:val="a6"/>
          <w:rFonts w:ascii="Times New Roman" w:eastAsia="標楷體" w:hAnsi="Times New Roman"/>
          <w:sz w:val="36"/>
          <w:szCs w:val="36"/>
        </w:rPr>
        <w:t>臺</w:t>
      </w:r>
      <w:proofErr w:type="gramEnd"/>
      <w:r w:rsidRPr="000F3BCB">
        <w:rPr>
          <w:rStyle w:val="a6"/>
          <w:rFonts w:ascii="Times New Roman" w:eastAsia="標楷體" w:hAnsi="Times New Roman"/>
          <w:sz w:val="36"/>
          <w:szCs w:val="36"/>
        </w:rPr>
        <w:t>東大學</w:t>
      </w:r>
      <w:r w:rsidRPr="000F3BCB">
        <w:rPr>
          <w:rStyle w:val="a6"/>
          <w:rFonts w:ascii="Times New Roman" w:eastAsia="標楷體" w:hAnsi="Times New Roman"/>
          <w:sz w:val="36"/>
          <w:szCs w:val="36"/>
        </w:rPr>
        <w:t xml:space="preserve"> </w:t>
      </w:r>
      <w:r w:rsidRPr="000F3BCB">
        <w:rPr>
          <w:rStyle w:val="a6"/>
          <w:rFonts w:ascii="Times New Roman" w:eastAsia="標楷體" w:hAnsi="Times New Roman"/>
          <w:sz w:val="36"/>
          <w:szCs w:val="36"/>
        </w:rPr>
        <w:t>全校不分系學士學位學程</w:t>
      </w:r>
    </w:p>
    <w:p w:rsidR="00632254" w:rsidRPr="000F3BCB" w:rsidRDefault="00632254" w:rsidP="00632254">
      <w:pPr>
        <w:snapToGrid w:val="0"/>
        <w:jc w:val="center"/>
        <w:rPr>
          <w:rStyle w:val="a6"/>
          <w:rFonts w:ascii="Times New Roman" w:eastAsia="標楷體" w:hAnsi="Times New Roman"/>
          <w:sz w:val="36"/>
          <w:szCs w:val="36"/>
        </w:rPr>
      </w:pPr>
      <w:r w:rsidRPr="000F3BCB">
        <w:rPr>
          <w:rStyle w:val="a6"/>
          <w:rFonts w:ascii="Times New Roman" w:eastAsia="標楷體" w:hAnsi="Times New Roman"/>
          <w:sz w:val="36"/>
          <w:szCs w:val="36"/>
        </w:rPr>
        <w:t>永續發展跨領域課程模組</w:t>
      </w:r>
    </w:p>
    <w:p w:rsidR="00632254" w:rsidRPr="000F3BCB" w:rsidRDefault="00632254" w:rsidP="00632254">
      <w:pPr>
        <w:spacing w:beforeLines="100" w:before="360" w:line="340" w:lineRule="exact"/>
        <w:rPr>
          <w:rFonts w:ascii="Times New Roman" w:eastAsia="標楷體" w:hAnsi="Times New Roman"/>
          <w:b/>
          <w:sz w:val="28"/>
          <w:szCs w:val="28"/>
        </w:rPr>
      </w:pPr>
      <w:r w:rsidRPr="000F3BCB">
        <w:rPr>
          <w:rFonts w:ascii="Times New Roman" w:eastAsia="標楷體" w:hAnsi="Times New Roman"/>
          <w:b/>
          <w:sz w:val="28"/>
          <w:szCs w:val="28"/>
        </w:rPr>
        <w:t>壹、目標</w:t>
      </w:r>
    </w:p>
    <w:p w:rsidR="00632254" w:rsidRPr="000F3BCB" w:rsidRDefault="00632254" w:rsidP="00632254">
      <w:pPr>
        <w:snapToGrid w:val="0"/>
        <w:spacing w:before="100" w:line="340" w:lineRule="exact"/>
        <w:jc w:val="both"/>
        <w:rPr>
          <w:rFonts w:ascii="Times New Roman" w:eastAsia="標楷體" w:hAnsi="Times New Roman"/>
        </w:rPr>
      </w:pPr>
      <w:r w:rsidRPr="000F3BCB">
        <w:rPr>
          <w:rFonts w:ascii="Times New Roman" w:eastAsia="標楷體" w:hAnsi="Times New Roman"/>
        </w:rPr>
        <w:t xml:space="preserve">    </w:t>
      </w:r>
      <w:r w:rsidRPr="000F3BCB">
        <w:rPr>
          <w:rFonts w:ascii="Times New Roman" w:eastAsia="標楷體" w:hAnsi="Times New Roman"/>
        </w:rPr>
        <w:t>為落實本校綠色國際大學目標，</w:t>
      </w:r>
      <w:proofErr w:type="gramStart"/>
      <w:r w:rsidRPr="000F3BCB">
        <w:rPr>
          <w:rFonts w:ascii="Times New Roman" w:eastAsia="標楷體" w:hAnsi="Times New Roman"/>
        </w:rPr>
        <w:t>培養具永續</w:t>
      </w:r>
      <w:proofErr w:type="gramEnd"/>
      <w:r w:rsidRPr="000F3BCB">
        <w:rPr>
          <w:rFonts w:ascii="Times New Roman" w:eastAsia="標楷體" w:hAnsi="Times New Roman"/>
        </w:rPr>
        <w:t>發展理念之跨領域人才，特設立「永續</w:t>
      </w:r>
      <w:proofErr w:type="gramStart"/>
      <w:r w:rsidRPr="000F3BCB">
        <w:rPr>
          <w:rFonts w:ascii="Times New Roman" w:eastAsia="標楷體" w:hAnsi="Times New Roman"/>
        </w:rPr>
        <w:t>發展跨域模組</w:t>
      </w:r>
      <w:proofErr w:type="gramEnd"/>
      <w:r w:rsidRPr="000F3BCB">
        <w:rPr>
          <w:rFonts w:ascii="Times New Roman" w:eastAsia="標楷體" w:hAnsi="Times New Roman"/>
        </w:rPr>
        <w:t>課程」，</w:t>
      </w:r>
      <w:r w:rsidRPr="000F3BCB">
        <w:rPr>
          <w:rFonts w:ascii="Times New Roman" w:eastAsia="標楷體" w:hAnsi="Times New Roman"/>
        </w:rPr>
        <w:t xml:space="preserve"> </w:t>
      </w:r>
      <w:r w:rsidRPr="000F3BCB">
        <w:rPr>
          <w:rFonts w:ascii="Times New Roman" w:eastAsia="標楷體" w:hAnsi="Times New Roman"/>
        </w:rPr>
        <w:t>期能達到以下目標：</w:t>
      </w:r>
    </w:p>
    <w:p w:rsidR="00632254" w:rsidRPr="000F3BCB" w:rsidRDefault="00632254" w:rsidP="00632254">
      <w:pPr>
        <w:pStyle w:val="a3"/>
        <w:widowControl/>
        <w:numPr>
          <w:ilvl w:val="0"/>
          <w:numId w:val="1"/>
        </w:numPr>
        <w:snapToGrid w:val="0"/>
        <w:spacing w:before="100" w:line="340" w:lineRule="exact"/>
        <w:ind w:leftChars="0" w:left="490"/>
        <w:jc w:val="both"/>
        <w:rPr>
          <w:rFonts w:ascii="Times New Roman" w:eastAsia="標楷體" w:hAnsi="Times New Roman"/>
        </w:rPr>
      </w:pPr>
      <w:r w:rsidRPr="000F3BCB">
        <w:rPr>
          <w:rFonts w:ascii="Times New Roman" w:eastAsia="標楷體" w:hAnsi="Times New Roman"/>
        </w:rPr>
        <w:t>期待建立永續發展核心理念與</w:t>
      </w:r>
      <w:r>
        <w:rPr>
          <w:rFonts w:ascii="Times New Roman" w:eastAsia="標楷體" w:hAnsi="Times New Roman" w:hint="eastAsia"/>
        </w:rPr>
        <w:t>具有</w:t>
      </w:r>
      <w:r w:rsidRPr="000F3BCB">
        <w:rPr>
          <w:rFonts w:ascii="Times New Roman" w:eastAsia="標楷體" w:hAnsi="Times New Roman"/>
        </w:rPr>
        <w:t>環境保護</w:t>
      </w:r>
      <w:r w:rsidRPr="000F3BCB">
        <w:rPr>
          <w:rFonts w:ascii="Times New Roman" w:eastAsia="標楷體" w:hAnsi="Times New Roman"/>
        </w:rPr>
        <w:t>(Environmental)</w:t>
      </w:r>
      <w:r w:rsidRPr="000F3BCB">
        <w:rPr>
          <w:rFonts w:ascii="Times New Roman" w:eastAsia="標楷體" w:hAnsi="Times New Roman"/>
        </w:rPr>
        <w:t>、社會責任</w:t>
      </w:r>
      <w:r w:rsidRPr="000F3BCB">
        <w:rPr>
          <w:rFonts w:ascii="Times New Roman" w:eastAsia="標楷體" w:hAnsi="Times New Roman"/>
        </w:rPr>
        <w:t>(Social)</w:t>
      </w:r>
      <w:r w:rsidRPr="000F3BCB">
        <w:rPr>
          <w:rFonts w:ascii="Times New Roman" w:eastAsia="標楷體" w:hAnsi="Times New Roman"/>
        </w:rPr>
        <w:t>及公司治理</w:t>
      </w:r>
      <w:r w:rsidRPr="000F3BCB">
        <w:rPr>
          <w:rFonts w:ascii="Times New Roman" w:eastAsia="標楷體" w:hAnsi="Times New Roman"/>
        </w:rPr>
        <w:t>(Governance)</w:t>
      </w:r>
      <w:r>
        <w:rPr>
          <w:rFonts w:ascii="Times New Roman" w:eastAsia="標楷體" w:hAnsi="Times New Roman" w:hint="eastAsia"/>
        </w:rPr>
        <w:t>之</w:t>
      </w:r>
      <w:r w:rsidRPr="000F3BCB">
        <w:rPr>
          <w:rFonts w:ascii="Times New Roman" w:eastAsia="標楷體" w:hAnsi="Times New Roman"/>
        </w:rPr>
        <w:t>意識。</w:t>
      </w:r>
    </w:p>
    <w:p w:rsidR="00632254" w:rsidRPr="000F3BCB" w:rsidRDefault="00632254" w:rsidP="00632254">
      <w:pPr>
        <w:pStyle w:val="a3"/>
        <w:widowControl/>
        <w:numPr>
          <w:ilvl w:val="0"/>
          <w:numId w:val="1"/>
        </w:numPr>
        <w:snapToGrid w:val="0"/>
        <w:spacing w:before="100" w:line="340" w:lineRule="exact"/>
        <w:ind w:leftChars="0" w:left="490"/>
        <w:jc w:val="both"/>
        <w:rPr>
          <w:rFonts w:ascii="Times New Roman" w:eastAsia="標楷體" w:hAnsi="Times New Roman"/>
        </w:rPr>
      </w:pPr>
      <w:r w:rsidRPr="000F3BCB">
        <w:rPr>
          <w:rFonts w:ascii="Times New Roman" w:eastAsia="標楷體" w:hAnsi="Times New Roman"/>
        </w:rPr>
        <w:t>整合</w:t>
      </w:r>
      <w:r>
        <w:rPr>
          <w:rFonts w:ascii="Times New Roman" w:eastAsia="標楷體" w:hAnsi="Times New Roman" w:hint="eastAsia"/>
        </w:rPr>
        <w:t>學校</w:t>
      </w:r>
      <w:r w:rsidRPr="000F3BCB">
        <w:rPr>
          <w:rFonts w:ascii="Times New Roman" w:eastAsia="標楷體" w:hAnsi="Times New Roman"/>
        </w:rPr>
        <w:t>永續發展相關課程，進行</w:t>
      </w:r>
      <w:r>
        <w:rPr>
          <w:rFonts w:ascii="Times New Roman" w:eastAsia="標楷體" w:hAnsi="Times New Roman" w:hint="eastAsia"/>
        </w:rPr>
        <w:t>學系（科）之</w:t>
      </w:r>
      <w:r w:rsidRPr="000F3BCB">
        <w:rPr>
          <w:rFonts w:ascii="Times New Roman" w:eastAsia="標楷體" w:hAnsi="Times New Roman"/>
        </w:rPr>
        <w:t>跨領域整合與運用。</w:t>
      </w:r>
    </w:p>
    <w:p w:rsidR="00632254" w:rsidRPr="000F3BCB" w:rsidRDefault="00632254" w:rsidP="00632254">
      <w:pPr>
        <w:pStyle w:val="a3"/>
        <w:widowControl/>
        <w:numPr>
          <w:ilvl w:val="0"/>
          <w:numId w:val="1"/>
        </w:numPr>
        <w:snapToGrid w:val="0"/>
        <w:spacing w:before="100" w:line="340" w:lineRule="exact"/>
        <w:ind w:leftChars="0" w:left="490"/>
        <w:jc w:val="both"/>
        <w:rPr>
          <w:rFonts w:ascii="Times New Roman" w:eastAsia="標楷體" w:hAnsi="Times New Roman"/>
        </w:rPr>
      </w:pPr>
      <w:r w:rsidRPr="000F3BCB">
        <w:rPr>
          <w:rFonts w:ascii="Times New Roman" w:eastAsia="標楷體" w:hAnsi="Times New Roman"/>
        </w:rPr>
        <w:t>透過永續發展理念與意識</w:t>
      </w:r>
      <w:r>
        <w:rPr>
          <w:rFonts w:ascii="Times New Roman" w:eastAsia="標楷體" w:hAnsi="Times New Roman" w:hint="eastAsia"/>
        </w:rPr>
        <w:t>之建立，</w:t>
      </w:r>
      <w:r w:rsidRPr="000F3BCB">
        <w:rPr>
          <w:rFonts w:ascii="Times New Roman" w:eastAsia="標楷體" w:hAnsi="Times New Roman"/>
        </w:rPr>
        <w:t>進行</w:t>
      </w:r>
      <w:r>
        <w:rPr>
          <w:rFonts w:ascii="Times New Roman" w:eastAsia="標楷體" w:hAnsi="Times New Roman" w:hint="eastAsia"/>
        </w:rPr>
        <w:t>自主性之</w:t>
      </w:r>
      <w:r w:rsidRPr="000F3BCB">
        <w:rPr>
          <w:rFonts w:ascii="Times New Roman" w:eastAsia="標楷體" w:hAnsi="Times New Roman"/>
        </w:rPr>
        <w:t>學習和實踐，增強</w:t>
      </w:r>
      <w:r>
        <w:rPr>
          <w:rFonts w:ascii="Times New Roman" w:eastAsia="標楷體" w:hAnsi="Times New Roman" w:hint="eastAsia"/>
        </w:rPr>
        <w:t>學生</w:t>
      </w:r>
      <w:r w:rsidRPr="000F3BCB">
        <w:rPr>
          <w:rFonts w:ascii="Times New Roman" w:eastAsia="標楷體" w:hAnsi="Times New Roman"/>
        </w:rPr>
        <w:t>主動性和解決問題</w:t>
      </w:r>
      <w:r>
        <w:rPr>
          <w:rFonts w:ascii="Times New Roman" w:eastAsia="標楷體" w:hAnsi="Times New Roman" w:hint="eastAsia"/>
        </w:rPr>
        <w:t>之</w:t>
      </w:r>
      <w:r w:rsidRPr="000F3BCB">
        <w:rPr>
          <w:rFonts w:ascii="Times New Roman" w:eastAsia="標楷體" w:hAnsi="Times New Roman"/>
        </w:rPr>
        <w:t>永續發展實踐能力。</w:t>
      </w:r>
    </w:p>
    <w:p w:rsidR="00632254" w:rsidRPr="000F3BCB" w:rsidRDefault="00632254" w:rsidP="00632254">
      <w:pPr>
        <w:pStyle w:val="a3"/>
        <w:widowControl/>
        <w:numPr>
          <w:ilvl w:val="0"/>
          <w:numId w:val="1"/>
        </w:numPr>
        <w:snapToGrid w:val="0"/>
        <w:spacing w:before="100" w:line="340" w:lineRule="exact"/>
        <w:ind w:leftChars="0" w:left="49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建立永續發展思維，將科學</w:t>
      </w:r>
      <w:r>
        <w:rPr>
          <w:rFonts w:ascii="Times New Roman" w:eastAsia="標楷體" w:hAnsi="Times New Roman" w:hint="eastAsia"/>
        </w:rPr>
        <w:t>應用</w:t>
      </w:r>
      <w:r>
        <w:rPr>
          <w:rFonts w:ascii="Times New Roman" w:eastAsia="標楷體" w:hAnsi="Times New Roman"/>
        </w:rPr>
        <w:t>與人文</w:t>
      </w:r>
      <w:r>
        <w:rPr>
          <w:rFonts w:ascii="Times New Roman" w:eastAsia="標楷體" w:hAnsi="Times New Roman" w:hint="eastAsia"/>
        </w:rPr>
        <w:t>社會素養之</w:t>
      </w:r>
      <w:r>
        <w:rPr>
          <w:rFonts w:ascii="Times New Roman" w:eastAsia="標楷體" w:hAnsi="Times New Roman"/>
        </w:rPr>
        <w:t>結合，</w:t>
      </w:r>
      <w:r>
        <w:rPr>
          <w:rFonts w:ascii="Times New Roman" w:eastAsia="標楷體" w:hAnsi="Times New Roman" w:hint="eastAsia"/>
        </w:rPr>
        <w:t>培養學生</w:t>
      </w:r>
      <w:r w:rsidRPr="000F3BCB">
        <w:rPr>
          <w:rFonts w:ascii="Times New Roman" w:eastAsia="標楷體" w:hAnsi="Times New Roman"/>
        </w:rPr>
        <w:t>具創新且可行永續發展能力。</w:t>
      </w:r>
    </w:p>
    <w:p w:rsidR="00632254" w:rsidRPr="000F3BCB" w:rsidRDefault="00632254" w:rsidP="00632254">
      <w:pPr>
        <w:spacing w:beforeLines="50" w:before="180" w:line="3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貳、</w:t>
      </w:r>
      <w:r w:rsidRPr="000F3BCB">
        <w:rPr>
          <w:rFonts w:ascii="Times New Roman" w:eastAsia="標楷體" w:hAnsi="Times New Roman"/>
          <w:b/>
          <w:sz w:val="28"/>
          <w:szCs w:val="28"/>
        </w:rPr>
        <w:t>人才培育</w:t>
      </w:r>
      <w:r>
        <w:rPr>
          <w:rFonts w:ascii="Times New Roman" w:eastAsia="標楷體" w:hAnsi="Times New Roman" w:hint="eastAsia"/>
          <w:b/>
          <w:sz w:val="28"/>
          <w:szCs w:val="28"/>
        </w:rPr>
        <w:t>目標及方向</w:t>
      </w:r>
    </w:p>
    <w:p w:rsidR="00632254" w:rsidRPr="000F3BCB" w:rsidRDefault="00632254" w:rsidP="00632254">
      <w:pPr>
        <w:pStyle w:val="a3"/>
        <w:widowControl/>
        <w:numPr>
          <w:ilvl w:val="0"/>
          <w:numId w:val="2"/>
        </w:numPr>
        <w:snapToGrid w:val="0"/>
        <w:spacing w:before="100" w:line="340" w:lineRule="exact"/>
        <w:ind w:leftChars="0" w:left="476"/>
        <w:jc w:val="both"/>
        <w:rPr>
          <w:rFonts w:ascii="Times New Roman" w:eastAsia="標楷體" w:hAnsi="Times New Roman"/>
        </w:rPr>
      </w:pPr>
      <w:proofErr w:type="gramStart"/>
      <w:r w:rsidRPr="000F3BCB">
        <w:rPr>
          <w:rFonts w:ascii="Times New Roman" w:eastAsia="標楷體" w:hAnsi="Times New Roman"/>
        </w:rPr>
        <w:t>培養具永續</w:t>
      </w:r>
      <w:proofErr w:type="gramEnd"/>
      <w:r w:rsidRPr="000F3BCB">
        <w:rPr>
          <w:rFonts w:ascii="Times New Roman" w:eastAsia="標楷體" w:hAnsi="Times New Roman"/>
        </w:rPr>
        <w:t>發展理念與意識之人才。</w:t>
      </w:r>
    </w:p>
    <w:p w:rsidR="00632254" w:rsidRPr="000F3BCB" w:rsidRDefault="00632254" w:rsidP="00632254">
      <w:pPr>
        <w:pStyle w:val="a3"/>
        <w:widowControl/>
        <w:numPr>
          <w:ilvl w:val="0"/>
          <w:numId w:val="2"/>
        </w:numPr>
        <w:snapToGrid w:val="0"/>
        <w:spacing w:before="100" w:line="340" w:lineRule="exact"/>
        <w:ind w:leftChars="0" w:left="476"/>
        <w:jc w:val="both"/>
        <w:rPr>
          <w:rFonts w:ascii="Times New Roman" w:eastAsia="標楷體" w:hAnsi="Times New Roman"/>
        </w:rPr>
      </w:pPr>
      <w:r w:rsidRPr="000F3BCB">
        <w:rPr>
          <w:rFonts w:ascii="Times New Roman" w:eastAsia="標楷體" w:hAnsi="Times New Roman"/>
        </w:rPr>
        <w:t>培養具</w:t>
      </w:r>
      <w:r w:rsidRPr="000F3BCB">
        <w:rPr>
          <w:rFonts w:ascii="Times New Roman" w:eastAsia="標楷體" w:hAnsi="Times New Roman" w:hint="eastAsia"/>
        </w:rPr>
        <w:t>環境</w:t>
      </w:r>
      <w:r w:rsidRPr="000F3BCB">
        <w:rPr>
          <w:rFonts w:ascii="標楷體" w:eastAsia="標楷體" w:hAnsi="標楷體" w:hint="eastAsia"/>
        </w:rPr>
        <w:t>、</w:t>
      </w:r>
      <w:r w:rsidRPr="000F3BCB">
        <w:rPr>
          <w:rFonts w:ascii="Times New Roman" w:eastAsia="標楷體" w:hAnsi="Times New Roman" w:hint="eastAsia"/>
        </w:rPr>
        <w:t>社會與治理責任感</w:t>
      </w:r>
      <w:r w:rsidRPr="000F3BCB">
        <w:rPr>
          <w:rFonts w:ascii="Times New Roman" w:eastAsia="標楷體" w:hAnsi="Times New Roman"/>
        </w:rPr>
        <w:t>之人才。</w:t>
      </w:r>
    </w:p>
    <w:p w:rsidR="00632254" w:rsidRPr="000F3BCB" w:rsidRDefault="00632254" w:rsidP="00632254">
      <w:pPr>
        <w:pStyle w:val="a3"/>
        <w:widowControl/>
        <w:numPr>
          <w:ilvl w:val="0"/>
          <w:numId w:val="2"/>
        </w:numPr>
        <w:snapToGrid w:val="0"/>
        <w:spacing w:before="100" w:line="340" w:lineRule="exact"/>
        <w:ind w:leftChars="0" w:left="476"/>
        <w:jc w:val="both"/>
        <w:rPr>
          <w:rFonts w:ascii="Times New Roman" w:eastAsia="標楷體" w:hAnsi="Times New Roman"/>
        </w:rPr>
      </w:pPr>
      <w:proofErr w:type="gramStart"/>
      <w:r w:rsidRPr="000F3BCB">
        <w:rPr>
          <w:rFonts w:ascii="Times New Roman" w:eastAsia="標楷體" w:hAnsi="Times New Roman" w:hint="eastAsia"/>
        </w:rPr>
        <w:t>培養具永續</w:t>
      </w:r>
      <w:proofErr w:type="gramEnd"/>
      <w:r w:rsidRPr="000F3BCB">
        <w:rPr>
          <w:rFonts w:ascii="Times New Roman" w:eastAsia="標楷體" w:hAnsi="Times New Roman" w:hint="eastAsia"/>
        </w:rPr>
        <w:t>發展行動力與公民參與意識</w:t>
      </w:r>
      <w:proofErr w:type="gramStart"/>
      <w:r w:rsidRPr="000F3BCB">
        <w:rPr>
          <w:rFonts w:ascii="Times New Roman" w:eastAsia="標楷體" w:hAnsi="Times New Roman" w:hint="eastAsia"/>
        </w:rPr>
        <w:t>之跨域學習</w:t>
      </w:r>
      <w:proofErr w:type="gramEnd"/>
      <w:r w:rsidRPr="000F3BCB">
        <w:rPr>
          <w:rFonts w:ascii="Times New Roman" w:eastAsia="標楷體" w:hAnsi="Times New Roman" w:hint="eastAsia"/>
        </w:rPr>
        <w:t>人才。</w:t>
      </w:r>
    </w:p>
    <w:p w:rsidR="00632254" w:rsidRPr="000F3BCB" w:rsidRDefault="00632254" w:rsidP="00632254">
      <w:pPr>
        <w:pStyle w:val="a3"/>
        <w:widowControl/>
        <w:numPr>
          <w:ilvl w:val="0"/>
          <w:numId w:val="2"/>
        </w:numPr>
        <w:snapToGrid w:val="0"/>
        <w:spacing w:before="100" w:line="340" w:lineRule="exact"/>
        <w:ind w:leftChars="0" w:left="476"/>
        <w:jc w:val="both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培</w:t>
      </w:r>
      <w:r>
        <w:rPr>
          <w:rFonts w:ascii="Times New Roman" w:eastAsia="標楷體" w:hAnsi="Times New Roman" w:hint="eastAsia"/>
        </w:rPr>
        <w:t>養</w:t>
      </w:r>
      <w:r w:rsidRPr="000F3BCB">
        <w:rPr>
          <w:rFonts w:ascii="Times New Roman" w:eastAsia="標楷體" w:hAnsi="Times New Roman"/>
        </w:rPr>
        <w:t>具</w:t>
      </w:r>
      <w:r w:rsidRPr="000F3BCB">
        <w:rPr>
          <w:rFonts w:ascii="Times New Roman" w:eastAsia="標楷體" w:hAnsi="Times New Roman" w:hint="eastAsia"/>
        </w:rPr>
        <w:t>永續</w:t>
      </w:r>
      <w:proofErr w:type="gramEnd"/>
      <w:r w:rsidRPr="000F3BCB">
        <w:rPr>
          <w:rFonts w:ascii="Times New Roman" w:eastAsia="標楷體" w:hAnsi="Times New Roman" w:hint="eastAsia"/>
        </w:rPr>
        <w:t>發展思維，</w:t>
      </w:r>
      <w:r>
        <w:rPr>
          <w:rFonts w:ascii="Times New Roman" w:eastAsia="標楷體" w:hAnsi="Times New Roman" w:hint="eastAsia"/>
        </w:rPr>
        <w:t>並</w:t>
      </w:r>
      <w:r w:rsidRPr="000F3BCB">
        <w:rPr>
          <w:rFonts w:ascii="Times New Roman" w:eastAsia="標楷體" w:hAnsi="Times New Roman" w:hint="eastAsia"/>
        </w:rPr>
        <w:t>融入科學</w:t>
      </w:r>
      <w:r>
        <w:rPr>
          <w:rFonts w:ascii="Times New Roman" w:eastAsia="標楷體" w:hAnsi="Times New Roman" w:hint="eastAsia"/>
        </w:rPr>
        <w:t>應用</w:t>
      </w:r>
      <w:r w:rsidRPr="000F3BCB">
        <w:rPr>
          <w:rFonts w:ascii="Times New Roman" w:eastAsia="標楷體" w:hAnsi="Times New Roman" w:hint="eastAsia"/>
        </w:rPr>
        <w:t>與人文</w:t>
      </w:r>
      <w:r>
        <w:rPr>
          <w:rFonts w:ascii="Times New Roman" w:eastAsia="標楷體" w:hAnsi="Times New Roman" w:hint="eastAsia"/>
        </w:rPr>
        <w:t>社會素養</w:t>
      </w:r>
      <w:r>
        <w:rPr>
          <w:rFonts w:ascii="Times New Roman" w:eastAsia="標楷體" w:hAnsi="Times New Roman"/>
        </w:rPr>
        <w:t>之</w:t>
      </w:r>
      <w:r w:rsidRPr="000F3BCB">
        <w:rPr>
          <w:rFonts w:ascii="Times New Roman" w:eastAsia="標楷體" w:hAnsi="Times New Roman"/>
        </w:rPr>
        <w:t>行動與應用人才。</w:t>
      </w:r>
    </w:p>
    <w:p w:rsidR="00632254" w:rsidRPr="000F3BCB" w:rsidRDefault="00632254" w:rsidP="00632254">
      <w:pPr>
        <w:spacing w:beforeLines="50" w:before="180" w:line="340" w:lineRule="exact"/>
        <w:rPr>
          <w:rFonts w:ascii="Times New Roman" w:eastAsia="標楷體" w:hAnsi="Times New Roman"/>
          <w:b/>
          <w:sz w:val="28"/>
        </w:rPr>
      </w:pPr>
      <w:r w:rsidRPr="000F3BCB">
        <w:rPr>
          <w:rFonts w:ascii="Times New Roman" w:eastAsia="標楷體" w:hAnsi="Times New Roman"/>
          <w:b/>
          <w:sz w:val="28"/>
        </w:rPr>
        <w:t>參、課程規劃</w:t>
      </w:r>
    </w:p>
    <w:p w:rsidR="00632254" w:rsidRDefault="00632254" w:rsidP="00632254">
      <w:pPr>
        <w:spacing w:beforeLines="50" w:before="180" w:line="340" w:lineRule="exact"/>
        <w:jc w:val="both"/>
        <w:rPr>
          <w:rFonts w:ascii="Times New Roman" w:eastAsia="標楷體" w:hAnsi="Times New Roman"/>
        </w:rPr>
      </w:pPr>
      <w:r w:rsidRPr="000F3BCB">
        <w:rPr>
          <w:rFonts w:ascii="Times New Roman" w:eastAsia="標楷體" w:hAnsi="Times New Roman"/>
        </w:rPr>
        <w:t xml:space="preserve">　　永續發展跨領域課程模組</w:t>
      </w:r>
      <w:r w:rsidRPr="000F3BCB">
        <w:rPr>
          <w:rFonts w:ascii="Times New Roman" w:eastAsia="標楷體" w:hAnsi="Times New Roman" w:hint="eastAsia"/>
        </w:rPr>
        <w:t>融入「人文社會」素養，以及科學應用之「永續發展」與「綠色生產」兩大知識領域，盼能透過多元化學習，培養跨領域人才，強化學子適才適性發展。</w:t>
      </w:r>
      <w:r w:rsidRPr="000F3BCB">
        <w:rPr>
          <w:rFonts w:ascii="Times New Roman" w:eastAsia="標楷體" w:hAnsi="Times New Roman"/>
        </w:rPr>
        <w:t>課程結構分為</w:t>
      </w:r>
      <w:r w:rsidRPr="000F3BCB">
        <w:rPr>
          <w:rFonts w:ascii="Times New Roman" w:eastAsia="標楷體" w:hAnsi="Times New Roman" w:hint="eastAsia"/>
        </w:rPr>
        <w:t>專業基礎模組課程</w:t>
      </w:r>
      <w:r w:rsidRPr="000F3BCB">
        <w:rPr>
          <w:rFonts w:ascii="Times New Roman" w:eastAsia="標楷體" w:hAnsi="Times New Roman"/>
        </w:rPr>
        <w:t>及模組專門課程。課程架構如下：</w:t>
      </w:r>
    </w:p>
    <w:tbl>
      <w:tblPr>
        <w:tblStyle w:val="a5"/>
        <w:tblW w:w="9606" w:type="dxa"/>
        <w:tblInd w:w="-5" w:type="dxa"/>
        <w:tblLook w:val="04A0" w:firstRow="1" w:lastRow="0" w:firstColumn="1" w:lastColumn="0" w:noHBand="0" w:noVBand="1"/>
      </w:tblPr>
      <w:tblGrid>
        <w:gridCol w:w="2235"/>
        <w:gridCol w:w="2976"/>
        <w:gridCol w:w="4395"/>
      </w:tblGrid>
      <w:tr w:rsidR="00632254" w:rsidRPr="000F3BCB" w:rsidTr="006E4808">
        <w:trPr>
          <w:trHeight w:val="537"/>
        </w:trPr>
        <w:tc>
          <w:tcPr>
            <w:tcW w:w="2235" w:type="dxa"/>
            <w:vAlign w:val="center"/>
          </w:tcPr>
          <w:p w:rsidR="00632254" w:rsidRPr="001C4A97" w:rsidRDefault="00632254" w:rsidP="006E4808">
            <w:pPr>
              <w:snapToGrid w:val="0"/>
              <w:spacing w:before="100" w:line="320" w:lineRule="exact"/>
              <w:jc w:val="center"/>
              <w:rPr>
                <w:rStyle w:val="a6"/>
                <w:rFonts w:ascii="Times New Roman" w:eastAsia="標楷體" w:hAnsi="Times New Roman"/>
                <w:bCs w:val="0"/>
              </w:rPr>
            </w:pPr>
            <w:r w:rsidRPr="001C4A97">
              <w:rPr>
                <w:rStyle w:val="a6"/>
                <w:rFonts w:ascii="Times New Roman" w:eastAsia="標楷體" w:hAnsi="Times New Roman"/>
              </w:rPr>
              <w:t>課程結構</w:t>
            </w:r>
          </w:p>
        </w:tc>
        <w:tc>
          <w:tcPr>
            <w:tcW w:w="2976" w:type="dxa"/>
            <w:vAlign w:val="center"/>
          </w:tcPr>
          <w:p w:rsidR="00632254" w:rsidRPr="001C4A97" w:rsidRDefault="00632254" w:rsidP="006E4808">
            <w:pPr>
              <w:snapToGrid w:val="0"/>
              <w:spacing w:before="100" w:line="320" w:lineRule="exact"/>
              <w:jc w:val="center"/>
              <w:rPr>
                <w:rStyle w:val="a6"/>
                <w:rFonts w:ascii="Times New Roman" w:eastAsia="標楷體" w:hAnsi="Times New Roman"/>
                <w:bCs w:val="0"/>
              </w:rPr>
            </w:pPr>
            <w:r w:rsidRPr="001C4A97">
              <w:rPr>
                <w:rStyle w:val="a6"/>
                <w:rFonts w:ascii="Times New Roman" w:eastAsia="標楷體" w:hAnsi="Times New Roman"/>
              </w:rPr>
              <w:t>課程學分數</w:t>
            </w:r>
          </w:p>
        </w:tc>
        <w:tc>
          <w:tcPr>
            <w:tcW w:w="4395" w:type="dxa"/>
            <w:vAlign w:val="center"/>
          </w:tcPr>
          <w:p w:rsidR="00632254" w:rsidRPr="001C4A97" w:rsidRDefault="00632254" w:rsidP="006E4808">
            <w:pPr>
              <w:snapToGrid w:val="0"/>
              <w:spacing w:before="100" w:line="320" w:lineRule="exact"/>
              <w:jc w:val="center"/>
              <w:rPr>
                <w:rStyle w:val="a6"/>
                <w:rFonts w:ascii="Times New Roman" w:eastAsia="標楷體" w:hAnsi="Times New Roman"/>
                <w:bCs w:val="0"/>
              </w:rPr>
            </w:pPr>
            <w:r w:rsidRPr="001C4A97">
              <w:rPr>
                <w:rStyle w:val="a6"/>
                <w:rFonts w:ascii="Times New Roman" w:eastAsia="標楷體" w:hAnsi="Times New Roman"/>
              </w:rPr>
              <w:t>模組應修學分數</w:t>
            </w:r>
          </w:p>
        </w:tc>
      </w:tr>
      <w:tr w:rsidR="00632254" w:rsidRPr="000F3BCB" w:rsidTr="006E4808">
        <w:trPr>
          <w:trHeight w:val="453"/>
        </w:trPr>
        <w:tc>
          <w:tcPr>
            <w:tcW w:w="2235" w:type="dxa"/>
            <w:vMerge w:val="restart"/>
            <w:vAlign w:val="center"/>
          </w:tcPr>
          <w:p w:rsidR="00632254" w:rsidRPr="001C4A97" w:rsidRDefault="00632254" w:rsidP="006E4808">
            <w:pPr>
              <w:snapToGrid w:val="0"/>
              <w:spacing w:before="100" w:line="320" w:lineRule="exact"/>
              <w:jc w:val="center"/>
              <w:rPr>
                <w:rStyle w:val="a6"/>
                <w:rFonts w:ascii="Times New Roman" w:eastAsia="標楷體" w:hAnsi="Times New Roman"/>
                <w:bCs w:val="0"/>
              </w:rPr>
            </w:pPr>
            <w:r w:rsidRPr="001C4A97">
              <w:rPr>
                <w:rStyle w:val="a6"/>
                <w:rFonts w:ascii="Times New Roman" w:eastAsia="標楷體" w:hAnsi="Times New Roman" w:hint="eastAsia"/>
              </w:rPr>
              <w:t>專業基礎模組課程</w:t>
            </w:r>
          </w:p>
        </w:tc>
        <w:tc>
          <w:tcPr>
            <w:tcW w:w="2976" w:type="dxa"/>
            <w:vMerge w:val="restart"/>
            <w:vAlign w:val="center"/>
          </w:tcPr>
          <w:p w:rsidR="00632254" w:rsidRPr="001C4A97" w:rsidRDefault="00632254" w:rsidP="006E4808">
            <w:pPr>
              <w:snapToGrid w:val="0"/>
              <w:spacing w:before="100" w:line="320" w:lineRule="exact"/>
              <w:jc w:val="center"/>
              <w:rPr>
                <w:rStyle w:val="a6"/>
                <w:rFonts w:ascii="Times New Roman" w:eastAsia="標楷體" w:hAnsi="Times New Roman"/>
                <w:bCs w:val="0"/>
              </w:rPr>
            </w:pPr>
            <w:r w:rsidRPr="001C4A97">
              <w:rPr>
                <w:rStyle w:val="a6"/>
                <w:rFonts w:ascii="Times New Roman" w:eastAsia="標楷體" w:hAnsi="Times New Roman"/>
              </w:rPr>
              <w:t>12</w:t>
            </w:r>
            <w:r w:rsidRPr="001C4A97">
              <w:rPr>
                <w:rStyle w:val="a6"/>
                <w:rFonts w:ascii="Times New Roman" w:eastAsia="標楷體" w:hAnsi="Times New Roman"/>
              </w:rPr>
              <w:t>學分</w:t>
            </w:r>
          </w:p>
        </w:tc>
        <w:tc>
          <w:tcPr>
            <w:tcW w:w="4395" w:type="dxa"/>
            <w:vAlign w:val="center"/>
          </w:tcPr>
          <w:p w:rsidR="00632254" w:rsidRPr="001C4A97" w:rsidRDefault="00632254" w:rsidP="006E4808">
            <w:pPr>
              <w:snapToGrid w:val="0"/>
              <w:spacing w:before="100" w:line="320" w:lineRule="exact"/>
              <w:jc w:val="center"/>
              <w:rPr>
                <w:rStyle w:val="a6"/>
                <w:rFonts w:ascii="Times New Roman" w:eastAsia="標楷體" w:hAnsi="Times New Roman"/>
                <w:bCs w:val="0"/>
              </w:rPr>
            </w:pPr>
            <w:r w:rsidRPr="001C4A97">
              <w:rPr>
                <w:rStyle w:val="a6"/>
                <w:rFonts w:ascii="Times New Roman" w:eastAsia="標楷體" w:hAnsi="Times New Roman"/>
              </w:rPr>
              <w:t>至少</w:t>
            </w:r>
            <w:r w:rsidRPr="001C4A97">
              <w:rPr>
                <w:rStyle w:val="a6"/>
                <w:rFonts w:ascii="Times New Roman" w:eastAsia="標楷體" w:hAnsi="Times New Roman"/>
              </w:rPr>
              <w:t>6</w:t>
            </w:r>
            <w:r w:rsidRPr="001C4A97">
              <w:rPr>
                <w:rStyle w:val="a6"/>
                <w:rFonts w:ascii="Times New Roman" w:eastAsia="標楷體" w:hAnsi="Times New Roman"/>
              </w:rPr>
              <w:t>學分</w:t>
            </w:r>
          </w:p>
        </w:tc>
      </w:tr>
      <w:tr w:rsidR="00632254" w:rsidRPr="000F3BCB" w:rsidTr="006E4808">
        <w:trPr>
          <w:trHeight w:val="420"/>
        </w:trPr>
        <w:tc>
          <w:tcPr>
            <w:tcW w:w="2235" w:type="dxa"/>
            <w:vMerge/>
            <w:vAlign w:val="center"/>
          </w:tcPr>
          <w:p w:rsidR="00632254" w:rsidRPr="001C4A97" w:rsidRDefault="00632254" w:rsidP="006E4808">
            <w:pPr>
              <w:snapToGrid w:val="0"/>
              <w:spacing w:before="100" w:line="320" w:lineRule="exact"/>
              <w:jc w:val="center"/>
              <w:rPr>
                <w:rStyle w:val="a6"/>
                <w:rFonts w:ascii="Times New Roman" w:eastAsia="標楷體" w:hAnsi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632254" w:rsidRPr="001C4A97" w:rsidRDefault="00632254" w:rsidP="006E4808">
            <w:pPr>
              <w:snapToGrid w:val="0"/>
              <w:spacing w:before="100" w:line="320" w:lineRule="exact"/>
              <w:jc w:val="center"/>
              <w:rPr>
                <w:rStyle w:val="a6"/>
                <w:rFonts w:ascii="Times New Roman" w:eastAsia="標楷體" w:hAnsi="Times New Roman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32254" w:rsidRPr="001C4A97" w:rsidRDefault="00632254" w:rsidP="006E4808">
            <w:pPr>
              <w:snapToGrid w:val="0"/>
              <w:spacing w:before="100" w:line="320" w:lineRule="exact"/>
              <w:jc w:val="center"/>
              <w:rPr>
                <w:rStyle w:val="a6"/>
                <w:rFonts w:ascii="Times New Roman" w:eastAsia="標楷體" w:hAnsi="Times New Roman"/>
              </w:rPr>
            </w:pPr>
            <w:r w:rsidRPr="001C4A97">
              <w:rPr>
                <w:rStyle w:val="a6"/>
                <w:rFonts w:ascii="Times New Roman" w:eastAsia="標楷體" w:hAnsi="Times New Roman"/>
              </w:rPr>
              <w:t>9</w:t>
            </w:r>
            <w:r w:rsidRPr="001C4A97">
              <w:rPr>
                <w:rStyle w:val="a6"/>
                <w:rFonts w:ascii="Times New Roman" w:eastAsia="標楷體" w:hAnsi="Times New Roman"/>
              </w:rPr>
              <w:t>學分</w:t>
            </w:r>
          </w:p>
        </w:tc>
      </w:tr>
      <w:tr w:rsidR="00632254" w:rsidRPr="000F3BCB" w:rsidTr="006E4808">
        <w:trPr>
          <w:trHeight w:val="537"/>
        </w:trPr>
        <w:tc>
          <w:tcPr>
            <w:tcW w:w="2235" w:type="dxa"/>
            <w:vAlign w:val="center"/>
          </w:tcPr>
          <w:p w:rsidR="00632254" w:rsidRPr="001C4A97" w:rsidRDefault="00632254" w:rsidP="006E4808">
            <w:pPr>
              <w:snapToGrid w:val="0"/>
              <w:spacing w:before="100" w:line="320" w:lineRule="exact"/>
              <w:jc w:val="center"/>
              <w:rPr>
                <w:rStyle w:val="a6"/>
                <w:rFonts w:ascii="Times New Roman" w:eastAsia="標楷體" w:hAnsi="Times New Roman"/>
                <w:bCs w:val="0"/>
              </w:rPr>
            </w:pPr>
            <w:r w:rsidRPr="001C4A97">
              <w:rPr>
                <w:rStyle w:val="a6"/>
                <w:rFonts w:ascii="Times New Roman" w:eastAsia="標楷體" w:hAnsi="Times New Roman"/>
              </w:rPr>
              <w:t>模組專門課程</w:t>
            </w:r>
          </w:p>
        </w:tc>
        <w:tc>
          <w:tcPr>
            <w:tcW w:w="2976" w:type="dxa"/>
            <w:vAlign w:val="center"/>
          </w:tcPr>
          <w:p w:rsidR="00632254" w:rsidRPr="001C4A97" w:rsidRDefault="00632254" w:rsidP="006E4808">
            <w:pPr>
              <w:snapToGrid w:val="0"/>
              <w:spacing w:before="100" w:line="320" w:lineRule="exact"/>
              <w:jc w:val="center"/>
              <w:rPr>
                <w:rStyle w:val="a6"/>
                <w:rFonts w:ascii="Times New Roman" w:eastAsia="標楷體" w:hAnsi="Times New Roman"/>
                <w:bCs w:val="0"/>
              </w:rPr>
            </w:pPr>
            <w:r w:rsidRPr="001C4A97">
              <w:rPr>
                <w:rStyle w:val="a6"/>
                <w:rFonts w:ascii="Times New Roman" w:eastAsia="標楷體" w:hAnsi="Times New Roman" w:hint="eastAsia"/>
              </w:rPr>
              <w:t>33</w:t>
            </w:r>
            <w:r w:rsidRPr="001C4A97">
              <w:rPr>
                <w:rStyle w:val="a6"/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4395" w:type="dxa"/>
            <w:vMerge/>
            <w:vAlign w:val="center"/>
          </w:tcPr>
          <w:p w:rsidR="00632254" w:rsidRPr="001C4A97" w:rsidRDefault="00632254" w:rsidP="006E4808">
            <w:pPr>
              <w:snapToGrid w:val="0"/>
              <w:spacing w:before="100" w:line="320" w:lineRule="exact"/>
              <w:jc w:val="center"/>
              <w:rPr>
                <w:rStyle w:val="a6"/>
                <w:rFonts w:ascii="Times New Roman" w:eastAsia="標楷體" w:hAnsi="Times New Roman"/>
                <w:bCs w:val="0"/>
              </w:rPr>
            </w:pPr>
          </w:p>
        </w:tc>
      </w:tr>
      <w:tr w:rsidR="00632254" w:rsidRPr="000F3BCB" w:rsidTr="006E4808">
        <w:trPr>
          <w:trHeight w:val="533"/>
        </w:trPr>
        <w:tc>
          <w:tcPr>
            <w:tcW w:w="5211" w:type="dxa"/>
            <w:gridSpan w:val="2"/>
            <w:vAlign w:val="center"/>
          </w:tcPr>
          <w:p w:rsidR="00632254" w:rsidRPr="001C4A97" w:rsidRDefault="00632254" w:rsidP="006E4808">
            <w:pPr>
              <w:snapToGrid w:val="0"/>
              <w:spacing w:before="100" w:line="320" w:lineRule="exact"/>
              <w:jc w:val="center"/>
              <w:rPr>
                <w:rStyle w:val="a6"/>
                <w:rFonts w:ascii="Times New Roman" w:eastAsia="標楷體" w:hAnsi="Times New Roman"/>
                <w:bCs w:val="0"/>
              </w:rPr>
            </w:pPr>
            <w:r w:rsidRPr="001C4A97">
              <w:rPr>
                <w:rStyle w:val="a6"/>
                <w:rFonts w:ascii="Times New Roman" w:eastAsia="標楷體" w:hAnsi="Times New Roman"/>
              </w:rPr>
              <w:t>合計</w:t>
            </w:r>
          </w:p>
        </w:tc>
        <w:tc>
          <w:tcPr>
            <w:tcW w:w="4395" w:type="dxa"/>
            <w:vAlign w:val="center"/>
          </w:tcPr>
          <w:p w:rsidR="00632254" w:rsidRPr="001C4A97" w:rsidRDefault="00632254" w:rsidP="006E4808">
            <w:pPr>
              <w:snapToGrid w:val="0"/>
              <w:spacing w:before="100" w:line="320" w:lineRule="exact"/>
              <w:jc w:val="center"/>
              <w:rPr>
                <w:rStyle w:val="a6"/>
                <w:rFonts w:ascii="Times New Roman" w:eastAsia="標楷體" w:hAnsi="Times New Roman"/>
                <w:bCs w:val="0"/>
              </w:rPr>
            </w:pPr>
            <w:r w:rsidRPr="001C4A97">
              <w:rPr>
                <w:rStyle w:val="a6"/>
                <w:rFonts w:ascii="Times New Roman" w:eastAsia="標楷體" w:hAnsi="Times New Roman"/>
              </w:rPr>
              <w:t>15</w:t>
            </w:r>
            <w:r w:rsidRPr="001C4A97">
              <w:rPr>
                <w:rStyle w:val="a6"/>
                <w:rFonts w:ascii="Times New Roman" w:eastAsia="標楷體" w:hAnsi="Times New Roman"/>
              </w:rPr>
              <w:t>學分</w:t>
            </w:r>
          </w:p>
        </w:tc>
      </w:tr>
    </w:tbl>
    <w:p w:rsidR="00632254" w:rsidRPr="004B024E" w:rsidRDefault="00632254" w:rsidP="00632254">
      <w:pPr>
        <w:jc w:val="both"/>
        <w:rPr>
          <w:rFonts w:ascii="Times New Roman" w:eastAsia="標楷體" w:hAnsi="Times New Roman"/>
        </w:rPr>
      </w:pPr>
      <w:r w:rsidRPr="004B024E">
        <w:rPr>
          <w:rFonts w:ascii="Times New Roman" w:eastAsia="標楷體" w:hAnsi="Times New Roman" w:hint="eastAsia"/>
        </w:rPr>
        <w:t>※專業基礎模組課程至少修畢</w:t>
      </w:r>
      <w:r w:rsidRPr="004B024E">
        <w:rPr>
          <w:rFonts w:ascii="Times New Roman" w:eastAsia="標楷體" w:hAnsi="Times New Roman" w:hint="eastAsia"/>
        </w:rPr>
        <w:t>6</w:t>
      </w:r>
      <w:r w:rsidRPr="004B024E">
        <w:rPr>
          <w:rFonts w:ascii="Times New Roman" w:eastAsia="標楷體" w:hAnsi="Times New Roman" w:hint="eastAsia"/>
        </w:rPr>
        <w:t>學分，</w:t>
      </w:r>
      <w:proofErr w:type="gramStart"/>
      <w:r w:rsidRPr="004B024E">
        <w:rPr>
          <w:rFonts w:ascii="Times New Roman" w:eastAsia="標楷體" w:hAnsi="Times New Roman" w:hint="eastAsia"/>
        </w:rPr>
        <w:t>超修專業</w:t>
      </w:r>
      <w:proofErr w:type="gramEnd"/>
      <w:r w:rsidRPr="004B024E">
        <w:rPr>
          <w:rFonts w:ascii="Times New Roman" w:eastAsia="標楷體" w:hAnsi="Times New Roman" w:hint="eastAsia"/>
        </w:rPr>
        <w:t>基礎模組課程可列為模組專門課程學分。</w:t>
      </w:r>
    </w:p>
    <w:p w:rsidR="00632254" w:rsidRPr="004B024E" w:rsidRDefault="00632254" w:rsidP="00632254">
      <w:pPr>
        <w:jc w:val="both"/>
        <w:rPr>
          <w:rFonts w:ascii="Times New Roman" w:eastAsia="標楷體" w:hAnsi="Times New Roman"/>
        </w:rPr>
      </w:pPr>
      <w:r w:rsidRPr="004B024E">
        <w:rPr>
          <w:rFonts w:ascii="Times New Roman" w:eastAsia="標楷體" w:hAnsi="Times New Roman" w:hint="eastAsia"/>
        </w:rPr>
        <w:t>※本模組課程得列為畢業學分之自由選修學分。</w:t>
      </w:r>
    </w:p>
    <w:p w:rsidR="00632254" w:rsidRPr="000F3BCB" w:rsidRDefault="00632254" w:rsidP="00632254">
      <w:pPr>
        <w:spacing w:beforeLines="50" w:before="180" w:line="320" w:lineRule="exact"/>
        <w:ind w:left="425" w:hanging="425"/>
        <w:rPr>
          <w:rFonts w:ascii="Times New Roman" w:eastAsia="標楷體" w:hAnsi="Times New Roman"/>
          <w:b/>
          <w:sz w:val="28"/>
        </w:rPr>
      </w:pPr>
      <w:r w:rsidRPr="000F3BCB">
        <w:rPr>
          <w:rFonts w:ascii="Times New Roman" w:eastAsia="標楷體" w:hAnsi="Times New Roman"/>
          <w:b/>
          <w:sz w:val="28"/>
        </w:rPr>
        <w:t>肆、選課說明</w:t>
      </w:r>
    </w:p>
    <w:p w:rsidR="00632254" w:rsidRPr="0064753E" w:rsidRDefault="00632254" w:rsidP="00632254">
      <w:pPr>
        <w:pStyle w:val="a3"/>
        <w:numPr>
          <w:ilvl w:val="0"/>
          <w:numId w:val="3"/>
        </w:numPr>
        <w:spacing w:before="100" w:line="340" w:lineRule="exact"/>
        <w:ind w:leftChars="0"/>
        <w:jc w:val="both"/>
        <w:rPr>
          <w:rFonts w:ascii="Times New Roman" w:eastAsia="標楷體" w:hAnsi="Times New Roman"/>
        </w:rPr>
      </w:pPr>
      <w:r w:rsidRPr="0064753E">
        <w:rPr>
          <w:rFonts w:ascii="Times New Roman" w:eastAsia="標楷體" w:hAnsi="Times New Roman"/>
        </w:rPr>
        <w:t>本課程模組開放全校學生申請，</w:t>
      </w:r>
      <w:proofErr w:type="gramStart"/>
      <w:r w:rsidRPr="0064753E">
        <w:rPr>
          <w:rFonts w:ascii="Times New Roman" w:eastAsia="標楷體" w:hAnsi="Times New Roman"/>
        </w:rPr>
        <w:t>欲修讀本</w:t>
      </w:r>
      <w:proofErr w:type="gramEnd"/>
      <w:r w:rsidRPr="0064753E">
        <w:rPr>
          <w:rFonts w:ascii="Times New Roman" w:eastAsia="標楷體" w:hAnsi="Times New Roman"/>
        </w:rPr>
        <w:t>模組課程之學生，必須通過「</w:t>
      </w:r>
      <w:proofErr w:type="gramStart"/>
      <w:r w:rsidRPr="0064753E">
        <w:rPr>
          <w:rFonts w:ascii="Times New Roman" w:eastAsia="標楷體" w:hAnsi="Times New Roman"/>
        </w:rPr>
        <w:t>修讀跨領域</w:t>
      </w:r>
      <w:proofErr w:type="gramEnd"/>
      <w:r w:rsidRPr="0064753E">
        <w:rPr>
          <w:rFonts w:ascii="Times New Roman" w:eastAsia="標楷體" w:hAnsi="Times New Roman"/>
        </w:rPr>
        <w:t>課程模組」之申請，始具備選修模組課程之資格。</w:t>
      </w:r>
    </w:p>
    <w:p w:rsidR="00632254" w:rsidRDefault="00632254" w:rsidP="00632254">
      <w:pPr>
        <w:pStyle w:val="a3"/>
        <w:numPr>
          <w:ilvl w:val="0"/>
          <w:numId w:val="3"/>
        </w:numPr>
        <w:spacing w:before="100" w:line="340" w:lineRule="exact"/>
        <w:ind w:leftChars="0"/>
        <w:jc w:val="both"/>
        <w:rPr>
          <w:rFonts w:ascii="Times New Roman" w:eastAsia="標楷體" w:hAnsi="Times New Roman"/>
        </w:rPr>
      </w:pPr>
      <w:r w:rsidRPr="000F3BCB">
        <w:rPr>
          <w:rFonts w:ascii="Times New Roman" w:eastAsia="標楷體" w:hAnsi="Times New Roman"/>
        </w:rPr>
        <w:lastRenderedPageBreak/>
        <w:t>本模組課程</w:t>
      </w:r>
      <w:r>
        <w:rPr>
          <w:rFonts w:ascii="Times New Roman" w:eastAsia="標楷體" w:hAnsi="Times New Roman" w:hint="eastAsia"/>
        </w:rPr>
        <w:t>得</w:t>
      </w:r>
      <w:r w:rsidRPr="000F3BCB">
        <w:rPr>
          <w:rFonts w:ascii="Times New Roman" w:eastAsia="標楷體" w:hAnsi="Times New Roman"/>
        </w:rPr>
        <w:t>列為畢業學分之自由選修學分。</w:t>
      </w:r>
    </w:p>
    <w:p w:rsidR="00632254" w:rsidRPr="000F3BCB" w:rsidRDefault="00632254" w:rsidP="00632254">
      <w:pPr>
        <w:pStyle w:val="a3"/>
        <w:numPr>
          <w:ilvl w:val="0"/>
          <w:numId w:val="3"/>
        </w:numPr>
        <w:spacing w:before="100" w:line="340" w:lineRule="exact"/>
        <w:ind w:leftChars="0"/>
        <w:jc w:val="both"/>
        <w:rPr>
          <w:rFonts w:ascii="Times New Roman" w:eastAsia="標楷體" w:hAnsi="Times New Roman"/>
        </w:rPr>
      </w:pPr>
      <w:r w:rsidRPr="000F3BCB">
        <w:rPr>
          <w:rFonts w:ascii="Times New Roman" w:eastAsia="標楷體" w:hAnsi="Times New Roman"/>
        </w:rPr>
        <w:t>學生依規定修畢</w:t>
      </w:r>
      <w:r w:rsidRPr="000F3BCB">
        <w:rPr>
          <w:rFonts w:ascii="Times New Roman" w:eastAsia="標楷體" w:hAnsi="Times New Roman"/>
        </w:rPr>
        <w:t>15</w:t>
      </w:r>
      <w:r w:rsidRPr="000F3BCB">
        <w:rPr>
          <w:rFonts w:ascii="Times New Roman" w:eastAsia="標楷體" w:hAnsi="Times New Roman"/>
        </w:rPr>
        <w:t>學分，經審核通過後，頒發「永續發展跨領域課程模組」證書，並於畢業證書註記。</w:t>
      </w:r>
    </w:p>
    <w:p w:rsidR="00632254" w:rsidRPr="000F3BCB" w:rsidRDefault="00632254" w:rsidP="00632254">
      <w:pPr>
        <w:pStyle w:val="a3"/>
        <w:numPr>
          <w:ilvl w:val="0"/>
          <w:numId w:val="3"/>
        </w:numPr>
        <w:spacing w:before="100" w:line="340" w:lineRule="exact"/>
        <w:ind w:leftChars="0"/>
        <w:jc w:val="both"/>
        <w:rPr>
          <w:rFonts w:ascii="Times New Roman" w:eastAsia="標楷體" w:hAnsi="Times New Roman"/>
        </w:rPr>
      </w:pPr>
      <w:r w:rsidRPr="00C772C1">
        <w:rPr>
          <w:rFonts w:ascii="Times New Roman" w:eastAsia="標楷體" w:hAnsi="Times New Roman"/>
        </w:rPr>
        <w:t>專業基礎模組課程至少修畢</w:t>
      </w:r>
      <w:r w:rsidRPr="00C772C1">
        <w:rPr>
          <w:rFonts w:ascii="Times New Roman" w:eastAsia="標楷體" w:hAnsi="Times New Roman"/>
        </w:rPr>
        <w:t>6</w:t>
      </w:r>
      <w:r w:rsidRPr="00C772C1">
        <w:rPr>
          <w:rFonts w:ascii="Times New Roman" w:eastAsia="標楷體" w:hAnsi="Times New Roman"/>
        </w:rPr>
        <w:t>學分，</w:t>
      </w:r>
      <w:proofErr w:type="gramStart"/>
      <w:r w:rsidRPr="00C772C1">
        <w:rPr>
          <w:rFonts w:ascii="Times New Roman" w:eastAsia="標楷體" w:hAnsi="Times New Roman"/>
        </w:rPr>
        <w:t>超修專業</w:t>
      </w:r>
      <w:proofErr w:type="gramEnd"/>
      <w:r w:rsidRPr="00C772C1">
        <w:rPr>
          <w:rFonts w:ascii="Times New Roman" w:eastAsia="標楷體" w:hAnsi="Times New Roman"/>
        </w:rPr>
        <w:t>基礎模組課程可列為模組專門課程學分，</w:t>
      </w:r>
      <w:r w:rsidRPr="000F3BCB">
        <w:rPr>
          <w:rFonts w:ascii="Times New Roman" w:eastAsia="標楷體" w:hAnsi="Times New Roman"/>
        </w:rPr>
        <w:t>始得申請「永續發展跨領域課程模組」證書。</w:t>
      </w:r>
    </w:p>
    <w:p w:rsidR="00632254" w:rsidRPr="000F3BCB" w:rsidRDefault="00632254" w:rsidP="00632254">
      <w:pPr>
        <w:spacing w:beforeLines="50" w:before="180" w:line="320" w:lineRule="exact"/>
        <w:ind w:left="425" w:hanging="425"/>
        <w:rPr>
          <w:rFonts w:ascii="Times New Roman" w:eastAsia="標楷體" w:hAnsi="Times New Roman"/>
          <w:b/>
          <w:sz w:val="28"/>
        </w:rPr>
      </w:pPr>
      <w:r w:rsidRPr="000F3BCB">
        <w:rPr>
          <w:rFonts w:ascii="Times New Roman" w:eastAsia="標楷體" w:hAnsi="Times New Roman"/>
          <w:b/>
          <w:sz w:val="28"/>
        </w:rPr>
        <w:t>伍、課程設計</w:t>
      </w: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2"/>
        <w:gridCol w:w="2404"/>
        <w:gridCol w:w="1922"/>
        <w:gridCol w:w="425"/>
        <w:gridCol w:w="425"/>
        <w:gridCol w:w="3543"/>
      </w:tblGrid>
      <w:tr w:rsidR="00632254" w:rsidRPr="000F3BCB" w:rsidTr="00632254">
        <w:tc>
          <w:tcPr>
            <w:tcW w:w="1062" w:type="dxa"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0F3BCB">
              <w:rPr>
                <w:rStyle w:val="a6"/>
                <w:rFonts w:ascii="Times New Roman" w:eastAsia="標楷體" w:hAnsi="Times New Roman"/>
              </w:rPr>
              <w:t>類別</w:t>
            </w:r>
          </w:p>
        </w:tc>
        <w:tc>
          <w:tcPr>
            <w:tcW w:w="2404" w:type="dxa"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0F3BCB">
              <w:rPr>
                <w:rStyle w:val="a6"/>
                <w:rFonts w:ascii="Times New Roman" w:eastAsia="標楷體" w:hAnsi="Times New Roman"/>
              </w:rPr>
              <w:t>科目中文名稱</w:t>
            </w:r>
          </w:p>
        </w:tc>
        <w:tc>
          <w:tcPr>
            <w:tcW w:w="1922" w:type="dxa"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0F3BCB">
              <w:rPr>
                <w:rStyle w:val="a6"/>
                <w:rFonts w:ascii="Times New Roman" w:eastAsia="標楷體" w:hAnsi="Times New Roman"/>
              </w:rPr>
              <w:t>科目代碼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Fonts w:ascii="Times New Roman" w:eastAsia="標楷體" w:hAnsi="Times New Roman"/>
                <w:b/>
              </w:rPr>
              <w:t>學分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Fonts w:ascii="Times New Roman" w:eastAsia="標楷體" w:hAnsi="Times New Roman"/>
                <w:b/>
              </w:rPr>
              <w:t>時數</w:t>
            </w:r>
          </w:p>
        </w:tc>
        <w:tc>
          <w:tcPr>
            <w:tcW w:w="3543" w:type="dxa"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0F3BCB">
              <w:rPr>
                <w:rStyle w:val="a6"/>
                <w:rFonts w:ascii="Times New Roman" w:eastAsia="標楷體" w:hAnsi="Times New Roman"/>
              </w:rPr>
              <w:t>科目英文名稱</w:t>
            </w:r>
          </w:p>
        </w:tc>
      </w:tr>
      <w:tr w:rsidR="00632254" w:rsidRPr="000F3BCB" w:rsidTr="00632254">
        <w:tc>
          <w:tcPr>
            <w:tcW w:w="1062" w:type="dxa"/>
            <w:vMerge w:val="restart"/>
            <w:textDirection w:val="tbRlV"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ind w:left="113" w:right="113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0F3BCB">
              <w:rPr>
                <w:rStyle w:val="a6"/>
                <w:rFonts w:ascii="Times New Roman" w:eastAsia="標楷體" w:hAnsi="Times New Roman"/>
              </w:rPr>
              <w:t>（至少選修</w:t>
            </w:r>
            <w:r w:rsidRPr="000413AE">
              <w:rPr>
                <w:rStyle w:val="a6"/>
                <w:rFonts w:ascii="Times New Roman" w:eastAsia="標楷體" w:hAnsi="Times New Roman"/>
                <w:b w:val="0"/>
                <w:bCs w:val="0"/>
                <w:noProof/>
              </w:rPr>
              <mc:AlternateContent>
                <mc:Choice Requires="wps">
                  <w:drawing>
                    <wp:inline distT="0" distB="0" distL="0" distR="0" wp14:anchorId="4CA8C3CB" wp14:editId="016C1B64">
                      <wp:extent cx="275590" cy="284217"/>
                      <wp:effectExtent l="0" t="0" r="0" b="1905"/>
                      <wp:docPr id="3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5590" cy="2842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254" w:rsidRPr="000413AE" w:rsidRDefault="00632254" w:rsidP="0063225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0413AE">
                                    <w:rPr>
                                      <w:rFonts w:ascii="Times New Roman" w:hAnsi="Times New Roman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CA8C3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width:21.7pt;height:22.4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" filled="f" stroked="f">
                      <v:textbox>
                        <w:txbxContent>
                          <w:p w:rsidR="00632254" w:rsidRPr="000413AE" w:rsidRDefault="00632254" w:rsidP="0063225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413AE">
                              <w:rPr>
                                <w:rFonts w:ascii="Times New Roman" w:hAnsi="Times New Roman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F3BCB">
              <w:rPr>
                <w:rStyle w:val="a6"/>
                <w:rFonts w:ascii="Times New Roman" w:eastAsia="標楷體" w:hAnsi="Times New Roman"/>
              </w:rPr>
              <w:t>學分）</w:t>
            </w:r>
          </w:p>
          <w:p w:rsidR="00632254" w:rsidRPr="000F3BCB" w:rsidRDefault="00632254" w:rsidP="006E4808">
            <w:pPr>
              <w:snapToGrid w:val="0"/>
              <w:spacing w:before="100"/>
              <w:ind w:left="113" w:right="113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0F3BCB">
              <w:rPr>
                <w:rStyle w:val="a6"/>
                <w:rFonts w:ascii="Times New Roman" w:eastAsia="標楷體" w:hAnsi="Times New Roman"/>
              </w:rPr>
              <w:t>專業基礎模組課程</w:t>
            </w:r>
          </w:p>
        </w:tc>
        <w:tc>
          <w:tcPr>
            <w:tcW w:w="2404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both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永續發展導論</w:t>
            </w:r>
          </w:p>
        </w:tc>
        <w:tc>
          <w:tcPr>
            <w:tcW w:w="1922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IPB11D00A001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3543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Introduction to Sustainable Development</w:t>
            </w:r>
          </w:p>
        </w:tc>
      </w:tr>
      <w:tr w:rsidR="00632254" w:rsidRPr="000F3BCB" w:rsidTr="00632254">
        <w:tc>
          <w:tcPr>
            <w:tcW w:w="1062" w:type="dxa"/>
            <w:vMerge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</w:p>
        </w:tc>
        <w:tc>
          <w:tcPr>
            <w:tcW w:w="2404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both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綠色知識經濟導論</w:t>
            </w:r>
          </w:p>
        </w:tc>
        <w:tc>
          <w:tcPr>
            <w:tcW w:w="1922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IPB11D00A002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3543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Introduction to Green Knowledge Economy</w:t>
            </w:r>
          </w:p>
        </w:tc>
      </w:tr>
      <w:tr w:rsidR="00632254" w:rsidRPr="000F3BCB" w:rsidTr="00632254">
        <w:tc>
          <w:tcPr>
            <w:tcW w:w="1062" w:type="dxa"/>
            <w:vMerge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</w:p>
        </w:tc>
        <w:tc>
          <w:tcPr>
            <w:tcW w:w="2404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both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氣候變遷與環境衝擊</w:t>
            </w:r>
          </w:p>
        </w:tc>
        <w:tc>
          <w:tcPr>
            <w:tcW w:w="1922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IPB11D00A003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3543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Climate Change and Environmental Impact</w:t>
            </w:r>
          </w:p>
        </w:tc>
      </w:tr>
      <w:tr w:rsidR="00632254" w:rsidRPr="000F3BCB" w:rsidTr="00632254">
        <w:tc>
          <w:tcPr>
            <w:tcW w:w="1062" w:type="dxa"/>
            <w:vMerge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</w:p>
        </w:tc>
        <w:tc>
          <w:tcPr>
            <w:tcW w:w="2404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both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人類文明與傳承</w:t>
            </w:r>
          </w:p>
        </w:tc>
        <w:tc>
          <w:tcPr>
            <w:tcW w:w="1922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IPB11D00A004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3543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Human Civilization and Legacy</w:t>
            </w:r>
          </w:p>
        </w:tc>
      </w:tr>
      <w:tr w:rsidR="00632254" w:rsidRPr="000F3BCB" w:rsidTr="00632254">
        <w:tc>
          <w:tcPr>
            <w:tcW w:w="1062" w:type="dxa"/>
            <w:vMerge w:val="restart"/>
            <w:textDirection w:val="tbRlV"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ind w:left="113" w:right="113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0F3BCB">
              <w:rPr>
                <w:rStyle w:val="a6"/>
                <w:rFonts w:ascii="Times New Roman" w:eastAsia="標楷體" w:hAnsi="Times New Roman" w:hint="eastAsia"/>
              </w:rPr>
              <w:t>模組專門</w:t>
            </w:r>
            <w:r w:rsidRPr="000F3BCB">
              <w:rPr>
                <w:rStyle w:val="a6"/>
                <w:rFonts w:ascii="Times New Roman" w:eastAsia="標楷體" w:hAnsi="Times New Roman"/>
              </w:rPr>
              <w:t>課程</w:t>
            </w:r>
          </w:p>
        </w:tc>
        <w:tc>
          <w:tcPr>
            <w:tcW w:w="2404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both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 w:hint="eastAsia"/>
              </w:rPr>
              <w:t>飲食文化與永續發展</w:t>
            </w:r>
          </w:p>
        </w:tc>
        <w:tc>
          <w:tcPr>
            <w:tcW w:w="1922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IPB12D00A0</w:t>
            </w:r>
            <w:r w:rsidRPr="00824DB7">
              <w:rPr>
                <w:rStyle w:val="a6"/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Food Culture and Sustainable Development</w:t>
            </w:r>
          </w:p>
        </w:tc>
      </w:tr>
      <w:tr w:rsidR="00632254" w:rsidRPr="000F3BCB" w:rsidTr="00632254">
        <w:tc>
          <w:tcPr>
            <w:tcW w:w="1062" w:type="dxa"/>
            <w:vMerge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</w:p>
        </w:tc>
        <w:tc>
          <w:tcPr>
            <w:tcW w:w="2404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both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 w:hint="eastAsia"/>
              </w:rPr>
              <w:t>都市治理與環境永續</w:t>
            </w:r>
          </w:p>
        </w:tc>
        <w:tc>
          <w:tcPr>
            <w:tcW w:w="1922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IPB12D00A0</w:t>
            </w:r>
            <w:r w:rsidRPr="00824DB7">
              <w:rPr>
                <w:rStyle w:val="a6"/>
                <w:rFonts w:ascii="Times New Roman" w:eastAsia="標楷體" w:hAnsi="Times New Roman" w:hint="eastAsia"/>
              </w:rPr>
              <w:t>19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Urban Governance and Sustainable Environment</w:t>
            </w:r>
          </w:p>
        </w:tc>
      </w:tr>
      <w:tr w:rsidR="00632254" w:rsidRPr="000F3BCB" w:rsidTr="00632254">
        <w:tc>
          <w:tcPr>
            <w:tcW w:w="1062" w:type="dxa"/>
            <w:vMerge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</w:p>
        </w:tc>
        <w:tc>
          <w:tcPr>
            <w:tcW w:w="2404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both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 w:hint="eastAsia"/>
              </w:rPr>
              <w:t>現代科技與永續</w:t>
            </w:r>
          </w:p>
        </w:tc>
        <w:tc>
          <w:tcPr>
            <w:tcW w:w="1922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IPB12D00A0</w:t>
            </w:r>
            <w:r w:rsidRPr="00824DB7">
              <w:rPr>
                <w:rStyle w:val="a6"/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Modern Technology and Sustainability</w:t>
            </w:r>
          </w:p>
        </w:tc>
      </w:tr>
      <w:tr w:rsidR="00632254" w:rsidRPr="000F3BCB" w:rsidTr="00632254">
        <w:tc>
          <w:tcPr>
            <w:tcW w:w="1062" w:type="dxa"/>
            <w:vMerge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</w:p>
        </w:tc>
        <w:tc>
          <w:tcPr>
            <w:tcW w:w="2404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both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 w:hint="eastAsia"/>
              </w:rPr>
              <w:t>生態永續與創新</w:t>
            </w:r>
          </w:p>
        </w:tc>
        <w:tc>
          <w:tcPr>
            <w:tcW w:w="1922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IPB12D00A0</w:t>
            </w:r>
            <w:r w:rsidRPr="00824DB7">
              <w:rPr>
                <w:rStyle w:val="a6"/>
                <w:rFonts w:ascii="Times New Roman" w:eastAsia="標楷體" w:hAnsi="Times New Roman" w:hint="eastAsia"/>
              </w:rPr>
              <w:t>21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Sustainable Ecology and Innovation</w:t>
            </w:r>
          </w:p>
        </w:tc>
      </w:tr>
      <w:tr w:rsidR="00632254" w:rsidRPr="000F3BCB" w:rsidTr="00632254">
        <w:tc>
          <w:tcPr>
            <w:tcW w:w="1062" w:type="dxa"/>
            <w:vMerge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</w:p>
        </w:tc>
        <w:tc>
          <w:tcPr>
            <w:tcW w:w="2404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both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proofErr w:type="gramStart"/>
            <w:r w:rsidRPr="00824DB7">
              <w:rPr>
                <w:rStyle w:val="a6"/>
                <w:rFonts w:ascii="Times New Roman" w:eastAsia="標楷體" w:hAnsi="Times New Roman" w:hint="eastAsia"/>
              </w:rPr>
              <w:t>低碳永續</w:t>
            </w:r>
            <w:proofErr w:type="gramEnd"/>
            <w:r w:rsidRPr="00824DB7">
              <w:rPr>
                <w:rStyle w:val="a6"/>
                <w:rFonts w:ascii="Times New Roman" w:eastAsia="標楷體" w:hAnsi="Times New Roman" w:hint="eastAsia"/>
              </w:rPr>
              <w:t>與智慧城市</w:t>
            </w:r>
          </w:p>
        </w:tc>
        <w:tc>
          <w:tcPr>
            <w:tcW w:w="1922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IPB12D00A0</w:t>
            </w:r>
            <w:r w:rsidRPr="00824DB7">
              <w:rPr>
                <w:rStyle w:val="a6"/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Low-Carbon and Smart City</w:t>
            </w:r>
          </w:p>
        </w:tc>
      </w:tr>
      <w:tr w:rsidR="00632254" w:rsidRPr="000F3BCB" w:rsidTr="00632254">
        <w:tc>
          <w:tcPr>
            <w:tcW w:w="1062" w:type="dxa"/>
            <w:vMerge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</w:p>
        </w:tc>
        <w:tc>
          <w:tcPr>
            <w:tcW w:w="2404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both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proofErr w:type="gramStart"/>
            <w:r w:rsidRPr="00824DB7">
              <w:rPr>
                <w:rStyle w:val="a6"/>
                <w:rFonts w:ascii="Times New Roman" w:eastAsia="標楷體" w:hAnsi="Times New Roman" w:hint="eastAsia"/>
              </w:rPr>
              <w:t>跨域多元</w:t>
            </w:r>
            <w:proofErr w:type="gramEnd"/>
            <w:r w:rsidRPr="00824DB7">
              <w:rPr>
                <w:rStyle w:val="a6"/>
                <w:rFonts w:ascii="Times New Roman" w:eastAsia="標楷體" w:hAnsi="Times New Roman" w:hint="eastAsia"/>
              </w:rPr>
              <w:t>敘事</w:t>
            </w:r>
          </w:p>
        </w:tc>
        <w:tc>
          <w:tcPr>
            <w:tcW w:w="1922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IPB12D00A0</w:t>
            </w:r>
            <w:r w:rsidRPr="00824DB7">
              <w:rPr>
                <w:rStyle w:val="a6"/>
                <w:rFonts w:ascii="Times New Roman" w:eastAsia="標楷體" w:hAnsi="Times New Roman" w:hint="eastAsia"/>
              </w:rPr>
              <w:t>14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 xml:space="preserve">Interdisciplinary and Multicultural Narration </w:t>
            </w:r>
          </w:p>
        </w:tc>
      </w:tr>
      <w:tr w:rsidR="00632254" w:rsidRPr="000F3BCB" w:rsidTr="00632254">
        <w:tc>
          <w:tcPr>
            <w:tcW w:w="1062" w:type="dxa"/>
            <w:vMerge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</w:p>
        </w:tc>
        <w:tc>
          <w:tcPr>
            <w:tcW w:w="2404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both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 w:hint="eastAsia"/>
              </w:rPr>
              <w:t>環境規劃與設計</w:t>
            </w:r>
          </w:p>
        </w:tc>
        <w:tc>
          <w:tcPr>
            <w:tcW w:w="1922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IPB12D00A0</w:t>
            </w:r>
            <w:r w:rsidRPr="00824DB7">
              <w:rPr>
                <w:rStyle w:val="a6"/>
                <w:rFonts w:ascii="Times New Roman" w:eastAsia="標楷體" w:hAnsi="Times New Roman" w:hint="eastAsia"/>
              </w:rPr>
              <w:t>22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Environmental Planning and Design</w:t>
            </w:r>
          </w:p>
        </w:tc>
      </w:tr>
      <w:tr w:rsidR="00632254" w:rsidRPr="000F3BCB" w:rsidTr="00632254">
        <w:tc>
          <w:tcPr>
            <w:tcW w:w="1062" w:type="dxa"/>
            <w:vMerge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</w:p>
        </w:tc>
        <w:tc>
          <w:tcPr>
            <w:tcW w:w="2404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both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 w:hint="eastAsia"/>
              </w:rPr>
              <w:t>綠色能源與轉型</w:t>
            </w:r>
          </w:p>
        </w:tc>
        <w:tc>
          <w:tcPr>
            <w:tcW w:w="1922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IPB12D00A0</w:t>
            </w:r>
            <w:r w:rsidRPr="00824DB7">
              <w:rPr>
                <w:rStyle w:val="a6"/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Green Energy and Energy Transition</w:t>
            </w:r>
          </w:p>
        </w:tc>
      </w:tr>
      <w:tr w:rsidR="00632254" w:rsidRPr="000F3BCB" w:rsidTr="00632254">
        <w:tc>
          <w:tcPr>
            <w:tcW w:w="1062" w:type="dxa"/>
            <w:vMerge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</w:p>
        </w:tc>
        <w:tc>
          <w:tcPr>
            <w:tcW w:w="2404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both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 w:hint="eastAsia"/>
              </w:rPr>
              <w:t>防災與環境永續</w:t>
            </w:r>
          </w:p>
        </w:tc>
        <w:tc>
          <w:tcPr>
            <w:tcW w:w="1922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IPB12D00A0</w:t>
            </w:r>
            <w:r w:rsidRPr="00824DB7">
              <w:rPr>
                <w:rStyle w:val="a6"/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Disaster Prevention and Sustainable Environment</w:t>
            </w:r>
          </w:p>
        </w:tc>
      </w:tr>
      <w:tr w:rsidR="00632254" w:rsidRPr="000F3BCB" w:rsidTr="00632254">
        <w:tc>
          <w:tcPr>
            <w:tcW w:w="1062" w:type="dxa"/>
            <w:vMerge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</w:p>
        </w:tc>
        <w:tc>
          <w:tcPr>
            <w:tcW w:w="2404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both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proofErr w:type="gramStart"/>
            <w:r w:rsidRPr="00824DB7">
              <w:rPr>
                <w:rStyle w:val="a6"/>
                <w:rFonts w:ascii="Times New Roman" w:eastAsia="標楷體" w:hAnsi="Times New Roman" w:hint="eastAsia"/>
              </w:rPr>
              <w:t>碳權與</w:t>
            </w:r>
            <w:proofErr w:type="gramEnd"/>
            <w:r w:rsidRPr="00824DB7">
              <w:rPr>
                <w:rStyle w:val="a6"/>
                <w:rFonts w:ascii="Times New Roman" w:eastAsia="標楷體" w:hAnsi="Times New Roman" w:hint="eastAsia"/>
              </w:rPr>
              <w:t>碳足跡</w:t>
            </w:r>
          </w:p>
        </w:tc>
        <w:tc>
          <w:tcPr>
            <w:tcW w:w="1922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IPB12D00A0</w:t>
            </w:r>
            <w:r w:rsidRPr="00824DB7">
              <w:rPr>
                <w:rStyle w:val="a6"/>
                <w:rFonts w:ascii="Times New Roman" w:eastAsia="標楷體" w:hAnsi="Times New Roman" w:hint="eastAsia"/>
              </w:rPr>
              <w:t>17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Carbon Rights and Carbon Footprints</w:t>
            </w:r>
          </w:p>
        </w:tc>
        <w:bookmarkStart w:id="0" w:name="_GoBack"/>
        <w:bookmarkEnd w:id="0"/>
      </w:tr>
      <w:tr w:rsidR="00632254" w:rsidRPr="000F3BCB" w:rsidTr="00632254">
        <w:tc>
          <w:tcPr>
            <w:tcW w:w="1062" w:type="dxa"/>
            <w:vMerge/>
            <w:vAlign w:val="center"/>
          </w:tcPr>
          <w:p w:rsidR="00632254" w:rsidRPr="000F3BCB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</w:p>
        </w:tc>
        <w:tc>
          <w:tcPr>
            <w:tcW w:w="2404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both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 w:hint="eastAsia"/>
              </w:rPr>
              <w:t>全球氣候變遷治理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IPB12D00A0</w:t>
            </w:r>
            <w:r w:rsidRPr="00824DB7">
              <w:rPr>
                <w:rStyle w:val="a6"/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jc w:val="center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32254" w:rsidRPr="00824DB7" w:rsidRDefault="00632254" w:rsidP="006E4808">
            <w:pPr>
              <w:snapToGrid w:val="0"/>
              <w:spacing w:before="100"/>
              <w:rPr>
                <w:rStyle w:val="a6"/>
                <w:rFonts w:ascii="Times New Roman" w:eastAsia="標楷體" w:hAnsi="Times New Roman"/>
                <w:b w:val="0"/>
                <w:bCs w:val="0"/>
              </w:rPr>
            </w:pPr>
            <w:r w:rsidRPr="00824DB7">
              <w:rPr>
                <w:rStyle w:val="a6"/>
                <w:rFonts w:ascii="Times New Roman" w:eastAsia="標楷體" w:hAnsi="Times New Roman"/>
              </w:rPr>
              <w:t xml:space="preserve">Global Climate Change </w:t>
            </w:r>
          </w:p>
        </w:tc>
      </w:tr>
    </w:tbl>
    <w:p w:rsidR="00AE733E" w:rsidRPr="00632254" w:rsidRDefault="00AE733E" w:rsidP="00632254">
      <w:pPr>
        <w:widowControl/>
        <w:rPr>
          <w:rFonts w:ascii="Times New Roman" w:hAnsi="Times New Roman" w:hint="eastAsia"/>
          <w:bCs/>
          <w:lang w:eastAsia="zh-HK"/>
        </w:rPr>
      </w:pPr>
    </w:p>
    <w:sectPr w:rsidR="00AE733E" w:rsidRPr="00632254" w:rsidSect="006322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1C1"/>
    <w:multiLevelType w:val="hybridMultilevel"/>
    <w:tmpl w:val="7FBA9730"/>
    <w:lvl w:ilvl="0" w:tplc="96220738">
      <w:start w:val="1"/>
      <w:numFmt w:val="taiwaneseCountingThousand"/>
      <w:lvlText w:val="%1、"/>
      <w:lvlJc w:val="left"/>
      <w:pPr>
        <w:ind w:left="3741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1" w15:restartNumberingAfterBreak="0">
    <w:nsid w:val="378F2087"/>
    <w:multiLevelType w:val="hybridMultilevel"/>
    <w:tmpl w:val="3696A4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785564"/>
    <w:multiLevelType w:val="hybridMultilevel"/>
    <w:tmpl w:val="C2B89564"/>
    <w:lvl w:ilvl="0" w:tplc="C7824A44">
      <w:start w:val="1"/>
      <w:numFmt w:val="taiwaneseCountingThousand"/>
      <w:lvlText w:val="%1、"/>
      <w:lvlJc w:val="left"/>
      <w:pPr>
        <w:ind w:left="3741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54"/>
    <w:rsid w:val="00632254"/>
    <w:rsid w:val="00A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C02CA"/>
  <w15:chartTrackingRefBased/>
  <w15:docId w15:val="{C13E4656-BC8C-4AF5-97CC-10FF3CD6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5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632254"/>
    <w:pPr>
      <w:ind w:leftChars="200" w:left="480"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uiPriority w:val="39"/>
    <w:rsid w:val="00632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卑南壹 字元"/>
    <w:link w:val="a3"/>
    <w:uiPriority w:val="34"/>
    <w:locked/>
    <w:rsid w:val="00632254"/>
  </w:style>
  <w:style w:type="character" w:styleId="a6">
    <w:name w:val="Strong"/>
    <w:basedOn w:val="a0"/>
    <w:uiPriority w:val="22"/>
    <w:qFormat/>
    <w:rsid w:val="00632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2025-01-15T05:03:00Z</dcterms:created>
  <dcterms:modified xsi:type="dcterms:W3CDTF">2025-01-15T05:04:00Z</dcterms:modified>
</cp:coreProperties>
</file>