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5A" w:rsidRPr="004A48C2" w:rsidRDefault="00CA57CE" w:rsidP="008A4B8D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4A48C2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國</w:t>
      </w:r>
      <w:r w:rsidRPr="004A48C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立臺東大學</w:t>
      </w:r>
      <w:r w:rsidR="00EE00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</w:t>
      </w:r>
      <w:r w:rsidR="00EE005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</w:t>
      </w:r>
      <w:r w:rsidRPr="004A48C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</w:t>
      </w:r>
      <w:r w:rsidRPr="004A48C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4A48C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課程綱要</w:t>
      </w:r>
    </w:p>
    <w:p w:rsidR="00CA57CE" w:rsidRPr="004A48C2" w:rsidRDefault="00CA57CE" w:rsidP="00E0515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CA57CE" w:rsidRPr="004A48C2" w:rsidRDefault="00CA57CE" w:rsidP="00E0515A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A48C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理工學院高齡健康與照護管理原住民專班</w:t>
      </w:r>
    </w:p>
    <w:p w:rsidR="0068664A" w:rsidRPr="0052746D" w:rsidRDefault="00F30929" w:rsidP="0052746D">
      <w:pPr>
        <w:snapToGrid w:val="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52746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</w:t>
      </w:r>
      <w:r w:rsidRPr="0052746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</w:t>
      </w:r>
      <w:r w:rsidR="00C3247E" w:rsidRPr="0052746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="00285F2A" w:rsidRPr="0052746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="0064437B" w:rsidRPr="0052746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="0064437B" w:rsidRPr="0052746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="001F7BA4" w:rsidRPr="0052746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次學程專班課程會議通過</w:t>
      </w:r>
      <w:r w:rsidR="0064437B" w:rsidRPr="0052746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(111.03.24</w:t>
      </w:r>
      <w:r w:rsidR="0064437B" w:rsidRPr="0052746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CA57CE" w:rsidRPr="00D75DF3" w:rsidRDefault="00CA57CE" w:rsidP="00CA57CE">
      <w:pPr>
        <w:tabs>
          <w:tab w:val="left" w:pos="6490"/>
        </w:tabs>
        <w:snapToGrid w:val="0"/>
        <w:spacing w:beforeLines="20" w:before="72" w:afterLines="20" w:after="7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75DF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一、目標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因應人口結構改變及高齡化的趨勢，本專班培育具備專業知識、技術能力、服務熱忱與注重人本關懷，培養專業知能與實務經驗兼備之高齡健康與照護管理領域專業人才。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透過課程模組打造專班學生專業學習路徑，培養學生跨領域知識學習及強化就業競爭力。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AB1597">
        <w:rPr>
          <w:rFonts w:ascii="Times New Roman" w:eastAsia="標楷體" w:hAnsi="Times New Roman" w:cs="Times New Roman"/>
          <w:bCs/>
          <w:color w:val="000000" w:themeColor="text1"/>
          <w:spacing w:val="-2"/>
          <w:szCs w:val="28"/>
        </w:rPr>
        <w:t>本專班鏈結產官學資源，提供良好的軟、硬體學習環境及扎實豐富的教學內容，並安排校外實習課程讓學生鏈結專業知能與實務經驗，提升就業競爭力，建構邁入健康與照護產業的關鍵能力。</w:t>
      </w:r>
    </w:p>
    <w:p w:rsidR="00CA57CE" w:rsidRPr="00D75DF3" w:rsidRDefault="00CA57CE" w:rsidP="00CA57CE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75DF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二、課程結構</w:t>
      </w:r>
    </w:p>
    <w:tbl>
      <w:tblPr>
        <w:tblW w:w="100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78"/>
        <w:gridCol w:w="1157"/>
        <w:gridCol w:w="1276"/>
        <w:gridCol w:w="3383"/>
        <w:gridCol w:w="992"/>
        <w:gridCol w:w="709"/>
      </w:tblGrid>
      <w:tr w:rsidR="00CA57CE" w:rsidRPr="00D75DF3" w:rsidTr="00DA161C"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ind w:firstLineChars="700" w:firstLine="196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CA57CE" w:rsidRPr="00D75DF3" w:rsidTr="00DA161C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通識教育課程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28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學分</w:t>
            </w:r>
          </w:p>
        </w:tc>
      </w:tr>
      <w:tr w:rsidR="00CA57CE" w:rsidRPr="00D75DF3" w:rsidTr="00DA161C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院共同課程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pStyle w:val="a5"/>
              <w:snapToGrid w:val="0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color w:val="000000" w:themeColor="text1"/>
              </w:rPr>
              <w:t>程式設計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pStyle w:val="a5"/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  <w:szCs w:val="22"/>
              </w:rPr>
              <w:t>3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79</w:t>
            </w:r>
          </w:p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</w:tr>
      <w:tr w:rsidR="00CA57CE" w:rsidRPr="00D75DF3" w:rsidTr="00DA161C"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基礎模組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24</w:t>
            </w: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ind w:leftChars="-21" w:left="-5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A57CE" w:rsidRPr="00D75DF3" w:rsidTr="00DA161C"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4</w:t>
            </w: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7CE" w:rsidRPr="00D75DF3" w:rsidRDefault="00CA57CE" w:rsidP="00DA161C">
            <w:pPr>
              <w:widowControl/>
              <w:snapToGrid w:val="0"/>
              <w:ind w:leftChars="-21" w:left="-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CE" w:rsidRPr="00D75DF3" w:rsidRDefault="00CA57CE" w:rsidP="00DA16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A57CE" w:rsidRPr="00D75DF3" w:rsidTr="00DA161C"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核心模組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</w:t>
            </w: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ind w:leftChars="-21" w:left="-5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24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A57CE" w:rsidRPr="00D75DF3" w:rsidTr="00DA161C"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4</w:t>
            </w: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ind w:leftChars="-21" w:left="-5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A57CE" w:rsidRPr="00D75DF3" w:rsidTr="00DA161C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ind w:leftChars="-18" w:left="-43" w:rightChars="-22" w:right="-5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專業模組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高齡健康模組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24</w:t>
            </w: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1E423A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D745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修讀</w:t>
            </w:r>
            <w:r w:rsidRPr="00BD745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BD745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個專業模組或修讀專業模組合計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BD745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ind w:leftChars="-21" w:left="-5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24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A57CE" w:rsidRPr="00D75DF3" w:rsidTr="00DA161C"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照護管理模組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24</w:t>
            </w: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A57CE" w:rsidRPr="00D75DF3" w:rsidTr="00DA161C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自由選修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「多修」課程，包含：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1.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通識教育課程之跨領域核心課程。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2.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院共同課程。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3.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系基礎模組。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4.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系核心模組。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5.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系專業模組。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6.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跨領域模組。</w:t>
            </w:r>
          </w:p>
          <w:p w:rsidR="00CA57CE" w:rsidRPr="00D75DF3" w:rsidRDefault="00CA57CE" w:rsidP="00DA161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7.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雙主修、副修、輔系。</w:t>
            </w:r>
          </w:p>
          <w:p w:rsidR="00CA57CE" w:rsidRPr="00D75DF3" w:rsidRDefault="00CA57CE" w:rsidP="00DA161C">
            <w:pPr>
              <w:snapToGrid w:val="0"/>
              <w:ind w:leftChars="100" w:left="581" w:hangingChars="142" w:hanging="341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8.</w:t>
            </w:r>
            <w:r w:rsidRPr="00D75DF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各類學程。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21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學分</w:t>
            </w:r>
          </w:p>
        </w:tc>
      </w:tr>
      <w:tr w:rsidR="00CA57CE" w:rsidRPr="00D75DF3" w:rsidTr="00DA161C"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總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     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E" w:rsidRPr="00D75DF3" w:rsidRDefault="00CA57CE" w:rsidP="00DA16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128</w:t>
            </w:r>
            <w:r w:rsidRPr="00D75DF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學分</w:t>
            </w:r>
          </w:p>
        </w:tc>
      </w:tr>
    </w:tbl>
    <w:p w:rsidR="00CA57CE" w:rsidRPr="00D75DF3" w:rsidRDefault="00CA57CE" w:rsidP="00CA57CE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75DF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三、選課須知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本專班畢業總學分為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學分，學生應修習通識教育課程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學分、院共選課程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3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學分、基礎模組課程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學分、核心模組課程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學分、專業模組課程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學分，自由選修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21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學分。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學生修讀專業模組時，可擇一個專業模組選修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學分或專業模組平均學分數，超修之課程可認列為自由選修。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基礎模組為八門必修課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(24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及選修課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3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門課至少選修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門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，核心模組為七門必修課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(20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及選修課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3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門課至少選修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門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；專業模組選修課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(24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，擇一個專業模組修讀時，至少選修八門課程；跨兩個專業模組修讀時，任一個模組修讀至少四門課程。</w:t>
      </w:r>
    </w:p>
    <w:p w:rsidR="00CA57CE" w:rsidRPr="00D75DF3" w:rsidRDefault="00CA57CE" w:rsidP="00CA57CE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sectPr w:rsidR="00CA57CE" w:rsidRPr="00D75DF3" w:rsidSect="00DA161C">
          <w:pgSz w:w="11906" w:h="16838"/>
          <w:pgMar w:top="720" w:right="720" w:bottom="720" w:left="720" w:header="284" w:footer="282" w:gutter="0"/>
          <w:cols w:space="425"/>
          <w:docGrid w:type="lines" w:linePitch="360"/>
        </w:sectPr>
      </w:pP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四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75DF3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自由選修課程可從本專班專門課程中選修，亦可選修其他學程、學系專門課程。</w:t>
      </w:r>
    </w:p>
    <w:p w:rsidR="00CA57CE" w:rsidRPr="00D75DF3" w:rsidRDefault="00CA57CE" w:rsidP="00CA57CE">
      <w:pPr>
        <w:snapToGrid w:val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75DF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四、院共同課程及模組課程</w:t>
      </w:r>
    </w:p>
    <w:tbl>
      <w:tblPr>
        <w:tblW w:w="10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546"/>
        <w:gridCol w:w="2216"/>
        <w:gridCol w:w="1524"/>
        <w:gridCol w:w="488"/>
        <w:gridCol w:w="351"/>
        <w:gridCol w:w="351"/>
        <w:gridCol w:w="560"/>
        <w:gridCol w:w="3562"/>
        <w:gridCol w:w="493"/>
      </w:tblGrid>
      <w:tr w:rsidR="00CA57CE" w:rsidRPr="00AB1597" w:rsidTr="00A63187">
        <w:trPr>
          <w:tblHeader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類別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備註</w:t>
            </w:r>
          </w:p>
        </w:tc>
      </w:tr>
      <w:tr w:rsidR="00CA57CE" w:rsidRPr="00AB1597" w:rsidTr="00A63187"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院</w:t>
            </w:r>
          </w:p>
          <w:p w:rsidR="00CA57CE" w:rsidRPr="00AB1597" w:rsidRDefault="00CA57CE" w:rsidP="00DA161C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共同課程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必修</w:t>
            </w:r>
          </w:p>
          <w:p w:rsidR="00CA57CE" w:rsidRPr="00AB1597" w:rsidRDefault="00CA57CE" w:rsidP="00DA161C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3</w:t>
            </w:r>
          </w:p>
          <w:p w:rsidR="00CA57CE" w:rsidRPr="00AB1597" w:rsidRDefault="00CA57CE" w:rsidP="00DA161C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程式設計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</w:t>
            </w:r>
            <w:r w:rsidR="00F10DE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C11C00A009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w w:val="110"/>
                <w:sz w:val="22"/>
                <w:szCs w:val="22"/>
              </w:rPr>
              <w:t>一上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基礎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模組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必修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24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高齡健康概論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SHC11E10A001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Gerontology Health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52336">
        <w:tc>
          <w:tcPr>
            <w:tcW w:w="474" w:type="dxa"/>
            <w:vMerge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基本照護學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SHC11E10A002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Basic Care 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心理學概論</w:t>
            </w:r>
          </w:p>
        </w:tc>
        <w:tc>
          <w:tcPr>
            <w:tcW w:w="1462" w:type="dxa"/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SHC11E10A003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0710B4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0710B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hyperlink r:id="rId6" w:history="1">
              <w:r w:rsidRPr="00AB159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2"/>
                  <w:szCs w:val="22"/>
                </w:rPr>
                <w:t>Psychology</w:t>
              </w:r>
            </w:hyperlink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人類學概論</w:t>
            </w:r>
          </w:p>
        </w:tc>
        <w:tc>
          <w:tcPr>
            <w:tcW w:w="1462" w:type="dxa"/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SHC11E10A005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0710B4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0710B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Anthropology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D323B" w:rsidRPr="006D323B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社會學</w:t>
            </w:r>
          </w:p>
        </w:tc>
        <w:tc>
          <w:tcPr>
            <w:tcW w:w="1462" w:type="dxa"/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SHC11E10A006</w:t>
            </w:r>
          </w:p>
        </w:tc>
        <w:tc>
          <w:tcPr>
            <w:tcW w:w="491" w:type="dxa"/>
            <w:vAlign w:val="center"/>
          </w:tcPr>
          <w:p w:rsidR="00CA57CE" w:rsidRPr="006D323B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D323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6D323B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D323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6D323B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D323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68664A" w:rsidRPr="000710B4" w:rsidRDefault="0068664A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0710B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85" w:type="dxa"/>
            <w:vAlign w:val="center"/>
          </w:tcPr>
          <w:p w:rsidR="00CA57CE" w:rsidRPr="006D323B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D323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496" w:type="dxa"/>
            <w:vAlign w:val="center"/>
          </w:tcPr>
          <w:p w:rsidR="00CA57CE" w:rsidRPr="006D323B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營養學概論</w:t>
            </w:r>
          </w:p>
        </w:tc>
        <w:tc>
          <w:tcPr>
            <w:tcW w:w="1462" w:type="dxa"/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SHC11E10A007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Nutrition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基礎生理學</w:t>
            </w:r>
          </w:p>
        </w:tc>
        <w:tc>
          <w:tcPr>
            <w:tcW w:w="1462" w:type="dxa"/>
            <w:vAlign w:val="center"/>
          </w:tcPr>
          <w:p w:rsidR="00CA57CE" w:rsidRPr="005357F8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5357F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SHC11E10A00</w:t>
            </w:r>
            <w:r w:rsidRPr="005357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Basic Physiology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老化生理學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CA57CE" w:rsidRPr="005357F8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5357F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SHC11E10A0</w:t>
            </w:r>
            <w:r w:rsidRPr="005357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Aging Physiology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選修</w:t>
            </w: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4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原住民族文化概論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SHC12E10A001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CA57CE" w:rsidRPr="00AB1597" w:rsidRDefault="006E0038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hyperlink r:id="rId7" w:history="1">
              <w:r w:rsidR="00CA57CE" w:rsidRPr="00AB159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2"/>
                  <w:szCs w:val="22"/>
                </w:rPr>
                <w:t>Introduction to Aboriginal Culture</w:t>
              </w:r>
            </w:hyperlink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原住民族語</w:t>
            </w:r>
            <w:r w:rsidR="0047022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-</w:t>
            </w:r>
            <w:r w:rsidR="0047022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布農語</w:t>
            </w:r>
          </w:p>
        </w:tc>
        <w:tc>
          <w:tcPr>
            <w:tcW w:w="1462" w:type="dxa"/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SHC12E10A002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Indigenous Languages </w:t>
            </w:r>
            <w:r w:rsidR="0047022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-Bu</w:t>
            </w:r>
            <w:r w:rsidR="0047022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nun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tcBorders>
              <w:bottom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tcBorders>
              <w:bottom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原住民族政策與法規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CA57CE" w:rsidRPr="004A48C2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A48C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SHC12E10A003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clear" w:pos="4153"/>
                <w:tab w:val="left" w:pos="-13365"/>
                <w:tab w:val="center" w:pos="-13224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Indigenous Peoples Policies and Regulations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核心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模組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必修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20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長期照護概論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SHC11E20A001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kern w:val="0"/>
                <w:sz w:val="22"/>
              </w:rPr>
              <w:t>一上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long-term Care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公共衛生概論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SHC11E20A002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kern w:val="0"/>
                <w:sz w:val="22"/>
              </w:rPr>
              <w:t>一下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Public Health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68664A" w:rsidRPr="00053E0F" w:rsidRDefault="0068664A" w:rsidP="00DD389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053E0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照護管理概論</w:t>
            </w:r>
          </w:p>
        </w:tc>
        <w:tc>
          <w:tcPr>
            <w:tcW w:w="1462" w:type="dxa"/>
            <w:vAlign w:val="center"/>
          </w:tcPr>
          <w:p w:rsidR="00CA57CE" w:rsidRPr="00053E0F" w:rsidRDefault="00985538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53E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SHC11E20A0</w:t>
            </w:r>
            <w:r w:rsidRPr="00053E0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91" w:type="dxa"/>
            <w:vAlign w:val="center"/>
          </w:tcPr>
          <w:p w:rsidR="00CA57CE" w:rsidRPr="00053E0F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53E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053E0F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53E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053E0F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53E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053E0F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053E0F">
              <w:rPr>
                <w:rFonts w:ascii="Times New Roman" w:eastAsia="標楷體" w:hAnsi="Times New Roman" w:cs="Times New Roman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3585" w:type="dxa"/>
            <w:vAlign w:val="center"/>
          </w:tcPr>
          <w:p w:rsidR="0068664A" w:rsidRPr="00053E0F" w:rsidRDefault="0068664A" w:rsidP="004122F0">
            <w:pPr>
              <w:pStyle w:val="a3"/>
              <w:tabs>
                <w:tab w:val="left" w:pos="480"/>
              </w:tabs>
              <w:ind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053E0F">
              <w:rPr>
                <w:rFonts w:eastAsia="標楷體"/>
                <w:color w:val="000000" w:themeColor="text1"/>
                <w:kern w:val="0"/>
                <w:sz w:val="24"/>
                <w:szCs w:val="22"/>
              </w:rPr>
              <w:t>Introduction of long-term Care Management</w:t>
            </w:r>
          </w:p>
        </w:tc>
        <w:tc>
          <w:tcPr>
            <w:tcW w:w="496" w:type="dxa"/>
            <w:vAlign w:val="center"/>
          </w:tcPr>
          <w:p w:rsidR="00CA57CE" w:rsidRPr="00A6318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高齡社會工作與社會福利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SHC11E20A005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Social Work and Social We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lfare for Advanced Age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C264B" w:rsidRPr="0026266B" w:rsidRDefault="00AC264B" w:rsidP="000710B4">
            <w:pPr>
              <w:widowControl/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長期照護實作</w:t>
            </w:r>
            <w:r w:rsidR="00B21BF7"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與管理</w:t>
            </w: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一</w:t>
            </w: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21BF7" w:rsidRPr="0026266B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</w:t>
            </w:r>
            <w:r w:rsidR="00217F9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01</w:t>
            </w:r>
            <w:r w:rsidR="00217F9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A57CE" w:rsidRPr="0026266B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CA57CE" w:rsidRPr="0026266B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CA57CE" w:rsidRPr="0026266B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A57CE" w:rsidRPr="0026266B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21BF7" w:rsidRPr="0026266B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 xml:space="preserve">Long </w:t>
            </w: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 xml:space="preserve">term </w:t>
            </w:r>
            <w:r w:rsidR="0052612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Care P</w:t>
            </w: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ractice</w:t>
            </w:r>
            <w:r w:rsidR="00217F9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 xml:space="preserve"> and </w:t>
            </w:r>
            <w:r w:rsidR="00217F9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Ma</w:t>
            </w:r>
            <w:r w:rsidR="00217F9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nagment</w:t>
            </w: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(Ⅰ)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161C" w:rsidRPr="00355F8E" w:rsidRDefault="00DA161C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</w:p>
        </w:tc>
      </w:tr>
      <w:tr w:rsidR="00CA57CE" w:rsidRPr="00AB1597" w:rsidTr="00A63187">
        <w:trPr>
          <w:trHeight w:val="609"/>
        </w:trPr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AC264B" w:rsidRPr="000710B4" w:rsidRDefault="00AC264B" w:rsidP="000710B4">
            <w:pPr>
              <w:widowControl/>
              <w:snapToGrid w:val="0"/>
              <w:ind w:leftChars="-41" w:left="-98" w:rightChars="-36" w:right="-86"/>
              <w:rPr>
                <w:rFonts w:ascii="標楷體" w:eastAsia="標楷體" w:hAnsi="標楷體"/>
                <w:strike/>
                <w:sz w:val="22"/>
              </w:rPr>
            </w:pPr>
            <w:r w:rsidRPr="000710B4">
              <w:rPr>
                <w:rFonts w:ascii="標楷體" w:eastAsia="標楷體" w:hAnsi="標楷體" w:hint="eastAsia"/>
                <w:sz w:val="22"/>
              </w:rPr>
              <w:t>長期照護實作</w:t>
            </w:r>
            <w:r w:rsidR="00B21BF7" w:rsidRPr="000710B4">
              <w:rPr>
                <w:rFonts w:ascii="標楷體" w:eastAsia="標楷體" w:hAnsi="標楷體" w:hint="eastAsia"/>
                <w:sz w:val="22"/>
              </w:rPr>
              <w:t>與管理</w:t>
            </w:r>
            <w:r w:rsidRPr="000710B4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462" w:type="dxa"/>
            <w:vAlign w:val="center"/>
          </w:tcPr>
          <w:p w:rsidR="00551243" w:rsidRPr="0026266B" w:rsidRDefault="00217F95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491" w:type="dxa"/>
            <w:vAlign w:val="center"/>
          </w:tcPr>
          <w:p w:rsidR="00CA57CE" w:rsidRPr="0026266B" w:rsidRDefault="00192BDF" w:rsidP="00192BDF">
            <w:pPr>
              <w:widowControl/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DA161C"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CA57CE" w:rsidRPr="0026266B" w:rsidRDefault="00DA161C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26266B" w:rsidRDefault="00DA161C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26266B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85" w:type="dxa"/>
            <w:vAlign w:val="center"/>
          </w:tcPr>
          <w:p w:rsidR="00B21BF7" w:rsidRPr="0026266B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  <w:sz w:val="22"/>
                <w:szCs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 xml:space="preserve">Long </w:t>
            </w: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 xml:space="preserve">term </w:t>
            </w:r>
            <w:r w:rsidR="0052612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C</w:t>
            </w:r>
            <w:r w:rsidR="0052612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 xml:space="preserve">are </w:t>
            </w:r>
            <w:r w:rsidR="0052612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P</w:t>
            </w: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ractice</w:t>
            </w:r>
            <w:r w:rsidR="00217F9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 xml:space="preserve"> and Managment</w:t>
            </w:r>
            <w:r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(Ⅱ)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57CE" w:rsidRPr="00355F8E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原住民健康統計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SHC11E20A00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Health Statistics of Indigenous Peoples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選修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4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部落文化與終身學習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SHC12E20A003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Tribal Culture and Lifelong Learning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(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一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SHC12E20A004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 (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Ⅰ)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tcBorders>
              <w:bottom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(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二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SHC12E20A005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(Ⅱ)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 w:val="restart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高齡健康專業</w:t>
            </w: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模組</w:t>
            </w:r>
          </w:p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選修</w:t>
            </w: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br/>
              <w:t>24</w:t>
            </w:r>
          </w:p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輔助與另類療法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SHC12E30A002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Complementary and Alternative Therapies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高齡體適能</w:t>
            </w:r>
          </w:p>
        </w:tc>
        <w:tc>
          <w:tcPr>
            <w:tcW w:w="1462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SHC12E30A003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Physical Fitness for </w:t>
            </w:r>
            <w:r w:rsidRPr="00AB1597">
              <w:rPr>
                <w:rStyle w:val="st1"/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Advanced Age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高齡科技與應用</w:t>
            </w:r>
          </w:p>
        </w:tc>
        <w:tc>
          <w:tcPr>
            <w:tcW w:w="1462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SHC12E30A004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Science Technology and Application for Advanced Age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生死學與臨終關懷</w:t>
            </w:r>
          </w:p>
        </w:tc>
        <w:tc>
          <w:tcPr>
            <w:tcW w:w="1462" w:type="dxa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SHC12E30A006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Terminal Care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高齡疾病與評估</w:t>
            </w:r>
          </w:p>
        </w:tc>
        <w:tc>
          <w:tcPr>
            <w:tcW w:w="1462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SHC12E30A011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Senior Diseases and Assessment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高齡活動設計</w:t>
            </w:r>
          </w:p>
        </w:tc>
        <w:tc>
          <w:tcPr>
            <w:tcW w:w="1462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SHC12E30A012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Senior Activities Programming 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3B5A6E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A6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高齡用藥</w:t>
            </w:r>
          </w:p>
        </w:tc>
        <w:tc>
          <w:tcPr>
            <w:tcW w:w="1462" w:type="dxa"/>
            <w:vAlign w:val="center"/>
          </w:tcPr>
          <w:p w:rsidR="00B21BF7" w:rsidRPr="003B5A6E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A6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SHC12E30A013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Senior Medication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3B5A6E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3B5A6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老人流行病學</w:t>
            </w:r>
          </w:p>
        </w:tc>
        <w:tc>
          <w:tcPr>
            <w:tcW w:w="1462" w:type="dxa"/>
          </w:tcPr>
          <w:p w:rsidR="00B21BF7" w:rsidRPr="003B5A6E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5A6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SHC12E30A014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Epidemiology of Senior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462" w:type="dxa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SHC12E30A015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跨領域專題應用</w:t>
            </w:r>
          </w:p>
        </w:tc>
        <w:tc>
          <w:tcPr>
            <w:tcW w:w="1462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SHC12E30A016</w:t>
            </w:r>
          </w:p>
        </w:tc>
        <w:tc>
          <w:tcPr>
            <w:tcW w:w="491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B21BF7" w:rsidRPr="00AB1597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85" w:type="dxa"/>
            <w:vAlign w:val="center"/>
          </w:tcPr>
          <w:p w:rsidR="00B21BF7" w:rsidRPr="00AB1597" w:rsidRDefault="00B21BF7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Application of Multidisciplinary Project</w:t>
            </w:r>
          </w:p>
        </w:tc>
        <w:tc>
          <w:tcPr>
            <w:tcW w:w="496" w:type="dxa"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21BF7" w:rsidRPr="00AB1597" w:rsidTr="00A63187">
        <w:tc>
          <w:tcPr>
            <w:tcW w:w="474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50" w:type="dxa"/>
            <w:vMerge/>
            <w:vAlign w:val="center"/>
          </w:tcPr>
          <w:p w:rsidR="00B21BF7" w:rsidRPr="00AB1597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B21BF7" w:rsidRPr="0026266B" w:rsidRDefault="00B21BF7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全學期實習課程</w:t>
            </w:r>
          </w:p>
        </w:tc>
        <w:tc>
          <w:tcPr>
            <w:tcW w:w="1462" w:type="dxa"/>
            <w:vAlign w:val="center"/>
          </w:tcPr>
          <w:p w:rsidR="00B21BF7" w:rsidRPr="0026266B" w:rsidRDefault="00355F8E" w:rsidP="00DA161C">
            <w:pPr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SHC12E30A</w:t>
            </w:r>
            <w:r w:rsidR="000B7512" w:rsidRPr="0026266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017</w:t>
            </w:r>
          </w:p>
        </w:tc>
        <w:tc>
          <w:tcPr>
            <w:tcW w:w="491" w:type="dxa"/>
            <w:vAlign w:val="center"/>
          </w:tcPr>
          <w:p w:rsidR="00B21BF7" w:rsidRPr="0026266B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21BF7" w:rsidRPr="0026266B" w:rsidRDefault="006E0038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352" w:type="dxa"/>
            <w:vAlign w:val="center"/>
          </w:tcPr>
          <w:p w:rsidR="00B21BF7" w:rsidRPr="0026266B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563" w:type="dxa"/>
            <w:vAlign w:val="center"/>
          </w:tcPr>
          <w:p w:rsidR="00B21BF7" w:rsidRPr="0026266B" w:rsidRDefault="00B21BF7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626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85" w:type="dxa"/>
            <w:vAlign w:val="center"/>
          </w:tcPr>
          <w:p w:rsidR="00B21BF7" w:rsidRPr="00836B1B" w:rsidRDefault="00836B1B" w:rsidP="001F214F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836B1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 xml:space="preserve">Full-time Semester Long-term Care </w:t>
            </w:r>
            <w:r w:rsidRPr="00836B1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Internship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21BF7" w:rsidRPr="00750361" w:rsidRDefault="00B21BF7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照護管</w:t>
            </w: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lastRenderedPageBreak/>
              <w:t>理</w:t>
            </w: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專業模組課程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lastRenderedPageBreak/>
              <w:t>選修</w:t>
            </w: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br/>
              <w:t>24</w:t>
            </w:r>
          </w:p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照護倫理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SHC12E40A001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Care Ethics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會計學概論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SHC12E40A003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kern w:val="0"/>
                <w:sz w:val="22"/>
              </w:rPr>
              <w:t>三上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Accounting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原住民族社區照護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SHC12E40A004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kern w:val="0"/>
                <w:sz w:val="22"/>
              </w:rPr>
              <w:t>二下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Aboriginal Community Care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經濟學概論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SHC12E40A005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Economics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長期照護個案管理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SHC12E40A009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Management of Long-term Care Cases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照護機構管理與評鑑</w:t>
            </w:r>
          </w:p>
        </w:tc>
        <w:tc>
          <w:tcPr>
            <w:tcW w:w="146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SHC12E40A010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Management and Evaluation</w:t>
            </w:r>
          </w:p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of Care Organizations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照護演示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一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462" w:type="dxa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SHC12E40A012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Care Demonstration 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"/>
              </w:rPr>
              <w:t>(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Ⅰ)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照護演示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二</w:t>
            </w: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462" w:type="dxa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SHC12E40A013</w:t>
            </w:r>
          </w:p>
        </w:tc>
        <w:tc>
          <w:tcPr>
            <w:tcW w:w="491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85" w:type="dxa"/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530A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Care Demonstration (</w:t>
            </w:r>
            <w:r w:rsidRPr="00530A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Ⅱ</w:t>
            </w:r>
            <w:r w:rsidRPr="00530A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496" w:type="dxa"/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CA57CE" w:rsidRPr="00AB1597" w:rsidTr="00A63187">
        <w:tc>
          <w:tcPr>
            <w:tcW w:w="474" w:type="dxa"/>
            <w:vMerge/>
            <w:tcBorders>
              <w:bottom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0" w:type="dxa"/>
            <w:vMerge/>
            <w:tcBorders>
              <w:bottom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高齡精神疾患照護</w:t>
            </w: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SHC12E40A014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widowControl/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Psychiatric Disorders Care for Senior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CA57CE" w:rsidRPr="00AB1597" w:rsidRDefault="00CA57CE" w:rsidP="00DA161C">
            <w:pPr>
              <w:snapToGrid w:val="0"/>
              <w:ind w:leftChars="-41" w:left="-98" w:rightChars="-36" w:righ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</w:tbl>
    <w:p w:rsidR="00CA57CE" w:rsidRPr="00D75DF3" w:rsidRDefault="00CA57CE" w:rsidP="00CA57CE">
      <w:pPr>
        <w:tabs>
          <w:tab w:val="left" w:pos="6261"/>
        </w:tabs>
        <w:contextualSpacing/>
        <w:rPr>
          <w:rFonts w:ascii="Times New Roman" w:eastAsia="標楷體" w:hAnsi="Times New Roman" w:cs="Times New Roman"/>
        </w:rPr>
      </w:pPr>
      <w:r w:rsidRPr="00D75DF3">
        <w:rPr>
          <w:rFonts w:ascii="Times New Roman" w:eastAsia="標楷體" w:hAnsi="Times New Roman" w:cs="Times New Roman"/>
          <w:b/>
          <w:sz w:val="32"/>
        </w:rPr>
        <w:tab/>
      </w:r>
    </w:p>
    <w:p w:rsidR="007B44C9" w:rsidRPr="00CA57CE" w:rsidRDefault="007B44C9"/>
    <w:sectPr w:rsidR="007B44C9" w:rsidRPr="00CA57CE" w:rsidSect="00CA57CE">
      <w:pgSz w:w="11906" w:h="16838"/>
      <w:pgMar w:top="794" w:right="680" w:bottom="454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1C" w:rsidRDefault="00DA161C" w:rsidP="00F10DED">
      <w:r>
        <w:separator/>
      </w:r>
    </w:p>
  </w:endnote>
  <w:endnote w:type="continuationSeparator" w:id="0">
    <w:p w:rsidR="00DA161C" w:rsidRDefault="00DA161C" w:rsidP="00F1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1C" w:rsidRDefault="00DA161C" w:rsidP="00F10DED">
      <w:r>
        <w:separator/>
      </w:r>
    </w:p>
  </w:footnote>
  <w:footnote w:type="continuationSeparator" w:id="0">
    <w:p w:rsidR="00DA161C" w:rsidRDefault="00DA161C" w:rsidP="00F1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53E0F"/>
    <w:rsid w:val="000710B4"/>
    <w:rsid w:val="000B7512"/>
    <w:rsid w:val="00154C00"/>
    <w:rsid w:val="00192BDF"/>
    <w:rsid w:val="001F214F"/>
    <w:rsid w:val="001F7BA4"/>
    <w:rsid w:val="00217F95"/>
    <w:rsid w:val="00241FD3"/>
    <w:rsid w:val="0026266B"/>
    <w:rsid w:val="00285F2A"/>
    <w:rsid w:val="002B0AFD"/>
    <w:rsid w:val="00355F8E"/>
    <w:rsid w:val="00381A0C"/>
    <w:rsid w:val="003930D4"/>
    <w:rsid w:val="004122F0"/>
    <w:rsid w:val="00470228"/>
    <w:rsid w:val="004C5C88"/>
    <w:rsid w:val="00526121"/>
    <w:rsid w:val="0052746D"/>
    <w:rsid w:val="00551243"/>
    <w:rsid w:val="00580E9D"/>
    <w:rsid w:val="005975CC"/>
    <w:rsid w:val="005C73A1"/>
    <w:rsid w:val="0064437B"/>
    <w:rsid w:val="0068664A"/>
    <w:rsid w:val="006D323B"/>
    <w:rsid w:val="006E0038"/>
    <w:rsid w:val="006E283E"/>
    <w:rsid w:val="00750361"/>
    <w:rsid w:val="00766DCB"/>
    <w:rsid w:val="007B44C9"/>
    <w:rsid w:val="007D722D"/>
    <w:rsid w:val="00817AEC"/>
    <w:rsid w:val="00830A68"/>
    <w:rsid w:val="00836B1B"/>
    <w:rsid w:val="0088772E"/>
    <w:rsid w:val="008A4B8D"/>
    <w:rsid w:val="008B0E2A"/>
    <w:rsid w:val="00917D82"/>
    <w:rsid w:val="00985538"/>
    <w:rsid w:val="00A52336"/>
    <w:rsid w:val="00A63187"/>
    <w:rsid w:val="00AB4EDE"/>
    <w:rsid w:val="00AC264B"/>
    <w:rsid w:val="00AE2664"/>
    <w:rsid w:val="00B21BF7"/>
    <w:rsid w:val="00BB3C6C"/>
    <w:rsid w:val="00BF46CB"/>
    <w:rsid w:val="00C3247E"/>
    <w:rsid w:val="00C61EEA"/>
    <w:rsid w:val="00C80340"/>
    <w:rsid w:val="00CA57CE"/>
    <w:rsid w:val="00D01667"/>
    <w:rsid w:val="00D84B6F"/>
    <w:rsid w:val="00DA161C"/>
    <w:rsid w:val="00DD389C"/>
    <w:rsid w:val="00E0515A"/>
    <w:rsid w:val="00E62710"/>
    <w:rsid w:val="00EE005F"/>
    <w:rsid w:val="00F10DED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983774"/>
  <w15:docId w15:val="{C0F3A2E2-D7E7-406F-BF7D-207DD0C7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5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57CE"/>
    <w:rPr>
      <w:sz w:val="20"/>
      <w:szCs w:val="20"/>
    </w:rPr>
  </w:style>
  <w:style w:type="paragraph" w:styleId="a5">
    <w:name w:val="annotation text"/>
    <w:basedOn w:val="a"/>
    <w:link w:val="a6"/>
    <w:rsid w:val="00CA57CE"/>
    <w:rPr>
      <w:rFonts w:ascii="Times New Roman" w:eastAsia="新細明體" w:hAnsi="Times New Roman" w:cs="Times New Roman"/>
      <w:szCs w:val="24"/>
    </w:rPr>
  </w:style>
  <w:style w:type="character" w:customStyle="1" w:styleId="a6">
    <w:name w:val="註解文字 字元"/>
    <w:basedOn w:val="a0"/>
    <w:link w:val="a5"/>
    <w:rsid w:val="00CA57CE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CA57CE"/>
  </w:style>
  <w:style w:type="paragraph" w:styleId="a7">
    <w:name w:val="footer"/>
    <w:basedOn w:val="a"/>
    <w:link w:val="a8"/>
    <w:uiPriority w:val="99"/>
    <w:unhideWhenUsed/>
    <w:rsid w:val="00F10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D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B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0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ago.tw/samples/psychology-editing-sampl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2022-04-18T07:14:00Z</cp:lastPrinted>
  <dcterms:created xsi:type="dcterms:W3CDTF">2022-03-30T07:34:00Z</dcterms:created>
  <dcterms:modified xsi:type="dcterms:W3CDTF">2022-08-29T05:19:00Z</dcterms:modified>
</cp:coreProperties>
</file>