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0" w:rsidRPr="003E3045" w:rsidRDefault="00EF28A0" w:rsidP="00EF28A0">
      <w:pPr>
        <w:snapToGrid w:val="0"/>
        <w:ind w:leftChars="35" w:left="852" w:hangingChars="274" w:hanging="76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E3045">
        <w:rPr>
          <w:rFonts w:ascii="標楷體" w:eastAsia="標楷體" w:hAnsi="標楷體" w:hint="eastAsia"/>
          <w:b/>
          <w:bCs/>
          <w:sz w:val="28"/>
          <w:szCs w:val="28"/>
        </w:rPr>
        <w:t xml:space="preserve">國立臺東大學　</w:t>
      </w:r>
      <w:r w:rsidR="003E654C">
        <w:rPr>
          <w:rFonts w:ascii="標楷體" w:eastAsia="標楷體" w:hAnsi="標楷體"/>
          <w:b/>
          <w:bCs/>
          <w:sz w:val="28"/>
          <w:szCs w:val="28"/>
        </w:rPr>
        <w:t>11</w:t>
      </w:r>
      <w:r w:rsidR="00ED717B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3E3045">
        <w:rPr>
          <w:rFonts w:ascii="標楷體" w:eastAsia="標楷體" w:hAnsi="標楷體" w:hint="eastAsia"/>
          <w:b/>
          <w:bCs/>
          <w:sz w:val="28"/>
          <w:szCs w:val="28"/>
        </w:rPr>
        <w:t>學年度　課程綱要</w:t>
      </w:r>
    </w:p>
    <w:p w:rsidR="00EF28A0" w:rsidRPr="003E3045" w:rsidRDefault="00EF28A0" w:rsidP="00EF28A0">
      <w:pPr>
        <w:snapToGrid w:val="0"/>
        <w:ind w:leftChars="35" w:left="852" w:hangingChars="274" w:hanging="76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E3045">
        <w:rPr>
          <w:rFonts w:ascii="標楷體" w:eastAsia="標楷體" w:hAnsi="標楷體" w:hint="eastAsia"/>
          <w:b/>
          <w:bCs/>
          <w:sz w:val="28"/>
          <w:szCs w:val="28"/>
        </w:rPr>
        <w:t>師範學院　教育學系　課程與教學碩士班課程</w:t>
      </w:r>
    </w:p>
    <w:p w:rsidR="00012438" w:rsidRPr="009F60C2" w:rsidRDefault="00012438" w:rsidP="00012438">
      <w:pPr>
        <w:snapToGrid w:val="0"/>
        <w:ind w:leftChars="700" w:left="1680" w:right="-1"/>
        <w:jc w:val="right"/>
        <w:rPr>
          <w:rFonts w:ascii="Calibri" w:eastAsia="標楷體" w:hAnsi="Calibri" w:cs="Calibri"/>
          <w:color w:val="000000" w:themeColor="text1"/>
          <w:sz w:val="20"/>
          <w:szCs w:val="28"/>
        </w:rPr>
      </w:pPr>
      <w:r w:rsidRPr="009F60C2">
        <w:rPr>
          <w:rFonts w:ascii="Calibri" w:eastAsia="標楷體" w:hAnsi="Calibri" w:cs="Calibri"/>
          <w:color w:val="000000" w:themeColor="text1"/>
          <w:sz w:val="20"/>
          <w:szCs w:val="28"/>
        </w:rPr>
        <w:t>11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2</w:t>
      </w:r>
      <w:r w:rsidRPr="009F60C2">
        <w:rPr>
          <w:rFonts w:ascii="Calibri" w:eastAsia="標楷體" w:hAnsi="Calibri" w:cs="Calibri"/>
          <w:color w:val="000000" w:themeColor="text1"/>
          <w:sz w:val="20"/>
          <w:szCs w:val="28"/>
        </w:rPr>
        <w:t>學年度第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2</w:t>
      </w:r>
      <w:r w:rsidRPr="009F60C2">
        <w:rPr>
          <w:rFonts w:ascii="Calibri" w:eastAsia="標楷體" w:hAnsi="Calibri" w:cs="Calibri"/>
          <w:color w:val="000000" w:themeColor="text1"/>
          <w:sz w:val="20"/>
          <w:szCs w:val="28"/>
        </w:rPr>
        <w:t>學期第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1</w:t>
      </w:r>
      <w:r w:rsidRPr="009F60C2">
        <w:rPr>
          <w:rFonts w:ascii="Calibri" w:eastAsia="標楷體" w:hAnsi="Calibri" w:cs="Calibri"/>
          <w:color w:val="000000" w:themeColor="text1"/>
          <w:sz w:val="20"/>
          <w:szCs w:val="28"/>
        </w:rPr>
        <w:t>次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系</w:t>
      </w:r>
      <w:r w:rsidRPr="009F60C2">
        <w:rPr>
          <w:rFonts w:ascii="Calibri" w:eastAsia="標楷體" w:hAnsi="Calibri" w:cs="Calibri"/>
          <w:color w:val="000000" w:themeColor="text1"/>
          <w:sz w:val="20"/>
          <w:szCs w:val="28"/>
        </w:rPr>
        <w:t>課程會議通過</w:t>
      </w:r>
      <w:r w:rsidRPr="009F60C2">
        <w:rPr>
          <w:rFonts w:ascii="Calibri" w:eastAsia="標楷體" w:hAnsi="Calibri" w:cs="Calibri"/>
          <w:color w:val="000000" w:themeColor="text1"/>
          <w:sz w:val="20"/>
          <w:szCs w:val="28"/>
        </w:rPr>
        <w:t>(11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30402</w:t>
      </w:r>
      <w:r w:rsidRPr="009F60C2">
        <w:rPr>
          <w:rFonts w:ascii="Calibri" w:eastAsia="標楷體" w:hAnsi="Calibri" w:cs="Calibri"/>
          <w:color w:val="000000" w:themeColor="text1"/>
          <w:sz w:val="20"/>
          <w:szCs w:val="28"/>
        </w:rPr>
        <w:t>)</w:t>
      </w:r>
    </w:p>
    <w:p w:rsidR="00012438" w:rsidRPr="009F60C2" w:rsidRDefault="00012438" w:rsidP="00012438">
      <w:pPr>
        <w:snapToGrid w:val="0"/>
        <w:ind w:leftChars="700" w:left="1680" w:right="-1"/>
        <w:jc w:val="right"/>
        <w:rPr>
          <w:rFonts w:ascii="Calibri" w:eastAsia="標楷體" w:hAnsi="Calibri" w:cs="Calibri"/>
          <w:color w:val="000000" w:themeColor="text1"/>
          <w:sz w:val="20"/>
          <w:szCs w:val="28"/>
        </w:rPr>
      </w:pP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112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學年度第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2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學期第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2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次院課程會議通過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(1130411)</w:t>
      </w:r>
    </w:p>
    <w:p w:rsidR="00B81912" w:rsidRDefault="00012438" w:rsidP="00012438">
      <w:pPr>
        <w:jc w:val="right"/>
        <w:rPr>
          <w:rFonts w:ascii="標楷體" w:eastAsia="標楷體" w:hAnsi="標楷體"/>
          <w:sz w:val="20"/>
        </w:rPr>
      </w:pP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112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學年度第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2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學期第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2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次</w:t>
      </w:r>
      <w:r>
        <w:rPr>
          <w:rFonts w:ascii="Calibri" w:eastAsia="標楷體" w:hAnsi="Calibri" w:cs="Calibri" w:hint="eastAsia"/>
          <w:color w:val="000000" w:themeColor="text1"/>
          <w:sz w:val="20"/>
          <w:szCs w:val="28"/>
        </w:rPr>
        <w:t>校</w:t>
      </w:r>
      <w:r w:rsidRPr="009F60C2">
        <w:rPr>
          <w:rFonts w:ascii="Calibri" w:eastAsia="標楷體" w:hAnsi="Calibri" w:cs="Calibri" w:hint="eastAsia"/>
          <w:color w:val="000000" w:themeColor="text1"/>
          <w:sz w:val="20"/>
          <w:szCs w:val="28"/>
        </w:rPr>
        <w:t>課程會議通過</w:t>
      </w:r>
      <w:r>
        <w:rPr>
          <w:rFonts w:ascii="Calibri" w:eastAsia="標楷體" w:hAnsi="Calibri" w:cs="Calibri" w:hint="eastAsia"/>
          <w:color w:val="000000" w:themeColor="text1"/>
          <w:sz w:val="20"/>
          <w:szCs w:val="28"/>
        </w:rPr>
        <w:t>(1130523</w:t>
      </w:r>
      <w:r>
        <w:rPr>
          <w:rFonts w:ascii="Calibri" w:eastAsia="標楷體" w:hAnsi="Calibri" w:cs="Calibri" w:hint="eastAsia"/>
          <w:color w:val="000000" w:themeColor="text1"/>
          <w:sz w:val="20"/>
          <w:szCs w:val="28"/>
        </w:rPr>
        <w:t>)</w:t>
      </w:r>
      <w:bookmarkStart w:id="0" w:name="_GoBack"/>
      <w:bookmarkEnd w:id="0"/>
    </w:p>
    <w:p w:rsidR="00EF28A0" w:rsidRPr="003E3045" w:rsidRDefault="00EF28A0" w:rsidP="00EF28A0">
      <w:pPr>
        <w:rPr>
          <w:rFonts w:ascii="標楷體" w:eastAsia="標楷體" w:hAnsi="標楷體"/>
          <w:b/>
          <w:sz w:val="22"/>
        </w:rPr>
      </w:pPr>
      <w:r w:rsidRPr="003E3045">
        <w:rPr>
          <w:rFonts w:ascii="標楷體" w:eastAsia="標楷體" w:hAnsi="標楷體" w:hint="eastAsia"/>
          <w:b/>
          <w:sz w:val="22"/>
        </w:rPr>
        <w:t>一、目標</w:t>
      </w:r>
    </w:p>
    <w:p w:rsidR="00EF28A0" w:rsidRPr="003E3045" w:rsidRDefault="00EF28A0" w:rsidP="00EF28A0">
      <w:pPr>
        <w:ind w:firstLineChars="225" w:firstLine="495"/>
        <w:rPr>
          <w:rFonts w:ascii="標楷體" w:eastAsia="標楷體" w:hAnsi="標楷體"/>
          <w:sz w:val="22"/>
        </w:rPr>
      </w:pPr>
      <w:r w:rsidRPr="003E3045">
        <w:rPr>
          <w:rFonts w:ascii="標楷體" w:eastAsia="標楷體" w:hAnsi="標楷體" w:hint="eastAsia"/>
          <w:sz w:val="22"/>
        </w:rPr>
        <w:t>台東大學教育系課程與教學碩士班期能透過系統而嚴謹的學術訓練，培養研究生在教育相關領域具有下表所列的學術能力。我們期待教授間的合作，對研究生有前後一致、而且環環相扣的要求，使研究生在最有效率的安排下，其研究設計、邏輯思考、學術寫作、與教學專業能力均能達到一定的水準，並藉此建立專業的自信，增進未來在各領域發展的可能。</w:t>
      </w:r>
    </w:p>
    <w:p w:rsidR="00EF28A0" w:rsidRPr="003E3045" w:rsidRDefault="00EF28A0" w:rsidP="00EF28A0">
      <w:pPr>
        <w:rPr>
          <w:rFonts w:ascii="標楷體" w:eastAsia="標楷體" w:hAnsi="標楷體"/>
          <w:b/>
          <w:sz w:val="22"/>
        </w:rPr>
      </w:pPr>
      <w:r w:rsidRPr="003E3045">
        <w:rPr>
          <w:rFonts w:ascii="標楷體" w:eastAsia="標楷體" w:hAnsi="標楷體" w:hint="eastAsia"/>
          <w:b/>
          <w:sz w:val="22"/>
        </w:rPr>
        <w:t>二 、課程架構</w:t>
      </w:r>
    </w:p>
    <w:p w:rsidR="00EF28A0" w:rsidRPr="003E3045" w:rsidRDefault="00EF28A0" w:rsidP="00EF28A0">
      <w:pPr>
        <w:rPr>
          <w:rFonts w:ascii="標楷體" w:eastAsia="標楷體" w:hAnsi="標楷體"/>
          <w:sz w:val="22"/>
        </w:rPr>
      </w:pPr>
      <w:r w:rsidRPr="003E3045">
        <w:rPr>
          <w:rFonts w:ascii="標楷體" w:eastAsia="標楷體" w:hAnsi="標楷體" w:hint="eastAsia"/>
          <w:sz w:val="22"/>
        </w:rPr>
        <w:t>課程與教學碩士班課程「各類課程修課的最低學分」，如下表。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795"/>
      </w:tblGrid>
      <w:tr w:rsidR="00EF28A0" w:rsidRPr="003E3045" w:rsidTr="002C670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E3045">
              <w:rPr>
                <w:rFonts w:eastAsia="標楷體" w:hint="eastAsia"/>
                <w:b/>
                <w:sz w:val="22"/>
                <w:szCs w:val="22"/>
              </w:rPr>
              <w:t>課程類別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E3045">
              <w:rPr>
                <w:rFonts w:eastAsia="標楷體" w:hint="eastAsia"/>
                <w:b/>
                <w:sz w:val="22"/>
                <w:szCs w:val="22"/>
              </w:rPr>
              <w:t>學分數合計</w:t>
            </w:r>
          </w:p>
        </w:tc>
      </w:tr>
      <w:tr w:rsidR="00EF28A0" w:rsidRPr="003E3045" w:rsidTr="002C670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論文與專題討論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9F2764" w:rsidP="009F276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0385">
              <w:rPr>
                <w:rFonts w:eastAsia="標楷體"/>
                <w:sz w:val="22"/>
                <w:szCs w:val="22"/>
              </w:rPr>
              <w:t>4</w:t>
            </w:r>
            <w:r w:rsidR="00EF28A0" w:rsidRPr="00C00385">
              <w:rPr>
                <w:rFonts w:eastAsia="標楷體" w:hint="eastAsia"/>
                <w:sz w:val="22"/>
                <w:szCs w:val="22"/>
              </w:rPr>
              <w:t>學</w:t>
            </w:r>
            <w:r w:rsidR="00EF28A0" w:rsidRPr="003E3045">
              <w:rPr>
                <w:rFonts w:eastAsia="標楷體" w:hint="eastAsia"/>
                <w:sz w:val="22"/>
                <w:szCs w:val="22"/>
              </w:rPr>
              <w:t>分</w:t>
            </w:r>
          </w:p>
        </w:tc>
      </w:tr>
      <w:tr w:rsidR="00EF28A0" w:rsidRPr="003E3045" w:rsidTr="002C670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研究方法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至少</w:t>
            </w:r>
            <w:r w:rsidRPr="003E3045">
              <w:rPr>
                <w:rFonts w:eastAsia="標楷體"/>
                <w:sz w:val="22"/>
                <w:szCs w:val="22"/>
              </w:rPr>
              <w:t>6</w:t>
            </w:r>
            <w:r w:rsidRPr="003E3045">
              <w:rPr>
                <w:rFonts w:eastAsia="標楷體" w:hint="eastAsia"/>
                <w:sz w:val="22"/>
                <w:szCs w:val="22"/>
              </w:rPr>
              <w:t>學分</w:t>
            </w:r>
          </w:p>
        </w:tc>
      </w:tr>
      <w:tr w:rsidR="00EF28A0" w:rsidRPr="003E3045" w:rsidTr="002C670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課程理論與實務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至少</w:t>
            </w:r>
            <w:r w:rsidRPr="003E3045">
              <w:rPr>
                <w:rFonts w:eastAsia="標楷體"/>
                <w:sz w:val="22"/>
                <w:szCs w:val="22"/>
              </w:rPr>
              <w:t>3</w:t>
            </w:r>
            <w:r w:rsidRPr="003E3045">
              <w:rPr>
                <w:rFonts w:eastAsia="標楷體" w:hint="eastAsia"/>
                <w:sz w:val="22"/>
                <w:szCs w:val="22"/>
              </w:rPr>
              <w:t>學分</w:t>
            </w:r>
          </w:p>
        </w:tc>
      </w:tr>
      <w:tr w:rsidR="00EF28A0" w:rsidRPr="003E3045" w:rsidTr="002C670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教學理論與實務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至少</w:t>
            </w:r>
            <w:r w:rsidRPr="003E3045">
              <w:rPr>
                <w:rFonts w:eastAsia="標楷體"/>
                <w:sz w:val="22"/>
                <w:szCs w:val="22"/>
              </w:rPr>
              <w:t>3</w:t>
            </w:r>
            <w:r w:rsidRPr="003E3045">
              <w:rPr>
                <w:rFonts w:eastAsia="標楷體" w:hint="eastAsia"/>
                <w:sz w:val="22"/>
                <w:szCs w:val="22"/>
              </w:rPr>
              <w:t>學分</w:t>
            </w:r>
          </w:p>
        </w:tc>
      </w:tr>
      <w:tr w:rsidR="00EF28A0" w:rsidRPr="003E3045" w:rsidTr="002C670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學習領域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不要求最低學分限制</w:t>
            </w:r>
          </w:p>
        </w:tc>
      </w:tr>
      <w:tr w:rsidR="00EF28A0" w:rsidRPr="003E3045" w:rsidTr="002C670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跨系所課程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654C" w:rsidRDefault="00687457" w:rsidP="0068745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654C">
              <w:rPr>
                <w:rFonts w:eastAsia="標楷體" w:hint="eastAsia"/>
                <w:sz w:val="22"/>
                <w:szCs w:val="22"/>
              </w:rPr>
              <w:t>總選修課程不得超過六學分，且應受每學期限修學分之限制。</w:t>
            </w:r>
            <w:r w:rsidRPr="003E654C">
              <w:rPr>
                <w:rFonts w:eastAsia="標楷體" w:hint="eastAsia"/>
                <w:sz w:val="22"/>
                <w:szCs w:val="22"/>
              </w:rPr>
              <w:t>(</w:t>
            </w:r>
            <w:r w:rsidRPr="003E654C">
              <w:rPr>
                <w:rFonts w:eastAsia="標楷體" w:hint="eastAsia"/>
                <w:sz w:val="22"/>
                <w:szCs w:val="22"/>
              </w:rPr>
              <w:t>本系碩士班所開授之相同課程名稱及學分之選修課程，不列入選修六學分之限制。</w:t>
            </w:r>
            <w:r w:rsidRPr="003E654C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F28A0" w:rsidRPr="003E3045" w:rsidTr="002C670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 w:hint="eastAsia"/>
                <w:sz w:val="22"/>
                <w:szCs w:val="22"/>
              </w:rPr>
              <w:t>總計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A0" w:rsidRPr="003E3045" w:rsidRDefault="00EF28A0" w:rsidP="002C67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E3045">
              <w:rPr>
                <w:rFonts w:eastAsia="標楷體"/>
                <w:sz w:val="22"/>
                <w:szCs w:val="22"/>
              </w:rPr>
              <w:t>30</w:t>
            </w:r>
            <w:r w:rsidRPr="003E3045">
              <w:rPr>
                <w:rFonts w:eastAsia="標楷體" w:hint="eastAsia"/>
                <w:sz w:val="22"/>
                <w:szCs w:val="22"/>
              </w:rPr>
              <w:t>學分</w:t>
            </w:r>
          </w:p>
        </w:tc>
      </w:tr>
    </w:tbl>
    <w:p w:rsidR="00EF28A0" w:rsidRPr="003E3045" w:rsidRDefault="00EF28A0" w:rsidP="00EF28A0">
      <w:pPr>
        <w:spacing w:line="240" w:lineRule="atLeast"/>
        <w:rPr>
          <w:rFonts w:ascii="標楷體" w:eastAsia="標楷體" w:hAnsi="標楷體"/>
          <w:b/>
          <w:sz w:val="22"/>
        </w:rPr>
      </w:pPr>
      <w:r w:rsidRPr="003E3045">
        <w:rPr>
          <w:rFonts w:ascii="標楷體" w:eastAsia="標楷體" w:hAnsi="標楷體"/>
          <w:b/>
          <w:sz w:val="22"/>
        </w:rPr>
        <w:t xml:space="preserve"> </w:t>
      </w:r>
      <w:r w:rsidRPr="003E3045">
        <w:rPr>
          <w:rFonts w:ascii="標楷體" w:eastAsia="標楷體" w:hAnsi="標楷體" w:hint="eastAsia"/>
          <w:b/>
          <w:sz w:val="22"/>
        </w:rPr>
        <w:t>三、選課須知</w:t>
      </w:r>
    </w:p>
    <w:p w:rsidR="00EF28A0" w:rsidRPr="003E3045" w:rsidRDefault="00EF28A0" w:rsidP="00EF28A0">
      <w:pPr>
        <w:numPr>
          <w:ilvl w:val="0"/>
          <w:numId w:val="1"/>
        </w:numPr>
        <w:rPr>
          <w:rFonts w:ascii="標楷體" w:eastAsia="標楷體" w:hAnsi="標楷體"/>
          <w:sz w:val="22"/>
        </w:rPr>
      </w:pPr>
      <w:r w:rsidRPr="003E3045">
        <w:rPr>
          <w:rFonts w:ascii="標楷體" w:eastAsia="標楷體" w:hAnsi="標楷體" w:hint="eastAsia"/>
          <w:sz w:val="22"/>
        </w:rPr>
        <w:t>畢業總學分至少</w:t>
      </w:r>
      <w:r w:rsidRPr="003E3045">
        <w:rPr>
          <w:rFonts w:ascii="標楷體" w:eastAsia="標楷體" w:hAnsi="標楷體"/>
          <w:sz w:val="22"/>
        </w:rPr>
        <w:t>30</w:t>
      </w:r>
      <w:r w:rsidRPr="003E3045">
        <w:rPr>
          <w:rFonts w:ascii="標楷體" w:eastAsia="標楷體" w:hAnsi="標楷體" w:hint="eastAsia"/>
          <w:sz w:val="22"/>
        </w:rPr>
        <w:t>學分，在職生每學期選課上限為11學分，全職生每學期選課上限為</w:t>
      </w:r>
      <w:r w:rsidRPr="003E3045">
        <w:rPr>
          <w:rFonts w:ascii="標楷體" w:eastAsia="標楷體" w:hAnsi="標楷體"/>
          <w:sz w:val="22"/>
        </w:rPr>
        <w:t>1</w:t>
      </w:r>
      <w:r w:rsidRPr="003E3045">
        <w:rPr>
          <w:rFonts w:ascii="標楷體" w:eastAsia="標楷體" w:hAnsi="標楷體" w:hint="eastAsia"/>
          <w:sz w:val="22"/>
        </w:rPr>
        <w:t>4學分。</w:t>
      </w:r>
    </w:p>
    <w:p w:rsidR="00EF28A0" w:rsidRPr="003E3045" w:rsidRDefault="00EF28A0" w:rsidP="00EF28A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3E3045">
        <w:rPr>
          <w:rFonts w:ascii="標楷體" w:eastAsia="標楷體" w:hAnsi="標楷體" w:hint="eastAsia"/>
          <w:sz w:val="22"/>
        </w:rPr>
        <w:t>研究生經本系同意且符合下列條件，得跨校、跨</w:t>
      </w:r>
      <w:r w:rsidR="00E120E1" w:rsidRPr="00027607">
        <w:rPr>
          <w:rFonts w:ascii="標楷體" w:eastAsia="標楷體" w:hAnsi="標楷體" w:hint="eastAsia"/>
          <w:sz w:val="22"/>
        </w:rPr>
        <w:t>進修學制</w:t>
      </w:r>
      <w:r w:rsidRPr="003E3045">
        <w:rPr>
          <w:rFonts w:ascii="標楷體" w:eastAsia="標楷體" w:hAnsi="標楷體" w:hint="eastAsia"/>
          <w:sz w:val="22"/>
        </w:rPr>
        <w:t>或跨碩士班選修原班課程架構外其他相關系所碩士班開設之課程。</w:t>
      </w:r>
    </w:p>
    <w:p w:rsidR="00EF28A0" w:rsidRPr="003E654C" w:rsidRDefault="00EF28A0" w:rsidP="00687457">
      <w:pPr>
        <w:pStyle w:val="a8"/>
        <w:rPr>
          <w:rFonts w:ascii="標楷體" w:eastAsia="標楷體" w:hAnsi="標楷體"/>
          <w:sz w:val="22"/>
        </w:rPr>
      </w:pPr>
      <w:r w:rsidRPr="003E3045">
        <w:rPr>
          <w:rFonts w:ascii="標楷體" w:eastAsia="標楷體" w:hAnsi="標楷體" w:hint="eastAsia"/>
          <w:sz w:val="22"/>
        </w:rPr>
        <w:t>（1）選修科目不可為原班課程架構的必修學分。</w:t>
      </w:r>
      <w:r w:rsidRPr="003E3045">
        <w:rPr>
          <w:rFonts w:ascii="標楷體" w:eastAsia="標楷體" w:hAnsi="標楷體"/>
          <w:sz w:val="22"/>
        </w:rPr>
        <w:br/>
      </w:r>
      <w:r w:rsidRPr="003E3045">
        <w:rPr>
          <w:rFonts w:ascii="標楷體" w:eastAsia="標楷體" w:hAnsi="標楷體" w:hint="eastAsia"/>
          <w:sz w:val="22"/>
        </w:rPr>
        <w:t>（2）</w:t>
      </w:r>
      <w:r w:rsidR="00687457" w:rsidRPr="003E654C">
        <w:rPr>
          <w:rFonts w:ascii="標楷體" w:eastAsia="標楷體" w:hAnsi="標楷體" w:hint="eastAsia"/>
          <w:sz w:val="22"/>
        </w:rPr>
        <w:t>總選修課程不得超過六學分，且應受每學期限修學分之限制。(本系碩士班所開授之相同課程名稱及學分之選修課程，不列入選修六學分之限制。)</w:t>
      </w:r>
    </w:p>
    <w:p w:rsidR="00EF28A0" w:rsidRPr="00272A6E" w:rsidRDefault="00EF28A0" w:rsidP="00EF28A0">
      <w:pPr>
        <w:numPr>
          <w:ilvl w:val="0"/>
          <w:numId w:val="1"/>
        </w:numPr>
        <w:rPr>
          <w:rFonts w:ascii="標楷體" w:eastAsia="標楷體" w:hAnsi="標楷體"/>
          <w:sz w:val="22"/>
        </w:rPr>
      </w:pPr>
      <w:r w:rsidRPr="00272A6E">
        <w:rPr>
          <w:rFonts w:ascii="標楷體" w:eastAsia="標楷體" w:hAnsi="標楷體" w:hint="eastAsia"/>
          <w:sz w:val="22"/>
        </w:rPr>
        <w:t>畢業總學分至少30學分，修業年限為1-4年，在職進修者最高年限為5年。</w:t>
      </w:r>
    </w:p>
    <w:p w:rsidR="00EF28A0" w:rsidRPr="00D865D6" w:rsidRDefault="00EF28A0" w:rsidP="00EF28A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D865D6">
        <w:rPr>
          <w:rFonts w:eastAsia="標楷體" w:hint="eastAsia"/>
          <w:bCs/>
          <w:sz w:val="22"/>
        </w:rPr>
        <w:t>學術研究倫理教育課程為必修，學分數為</w:t>
      </w:r>
      <w:r w:rsidRPr="00D865D6">
        <w:rPr>
          <w:rFonts w:eastAsia="標楷體" w:hint="eastAsia"/>
          <w:bCs/>
          <w:sz w:val="22"/>
        </w:rPr>
        <w:t>0</w:t>
      </w:r>
      <w:r w:rsidRPr="00D865D6">
        <w:rPr>
          <w:rFonts w:eastAsia="標楷體" w:hint="eastAsia"/>
          <w:bCs/>
          <w:sz w:val="22"/>
        </w:rPr>
        <w:t>學分，學生須於學位論文計畫審核前至「臺灣學術倫理教育資源中心」線上平臺修習指定課程，並通過課程總測驗成績及格標準，即可線上取得修課證明。</w:t>
      </w:r>
    </w:p>
    <w:p w:rsidR="00EF28A0" w:rsidRPr="003E3045" w:rsidRDefault="00EF28A0" w:rsidP="00EF28A0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EF28A0" w:rsidRPr="003E3045" w:rsidRDefault="00EF28A0" w:rsidP="00EF28A0">
      <w:pPr>
        <w:widowControl/>
        <w:rPr>
          <w:rFonts w:ascii="標楷體" w:eastAsia="標楷體" w:hAnsi="標楷體"/>
          <w:sz w:val="22"/>
        </w:rPr>
      </w:pPr>
      <w:r w:rsidRPr="003E3045">
        <w:rPr>
          <w:rFonts w:ascii="標楷體" w:eastAsia="標楷體" w:hAnsi="標楷體" w:hint="eastAsia"/>
          <w:b/>
          <w:sz w:val="22"/>
        </w:rPr>
        <w:lastRenderedPageBreak/>
        <w:t>四、課程與教學碩士班課程架構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4"/>
        <w:gridCol w:w="484"/>
        <w:gridCol w:w="1729"/>
        <w:gridCol w:w="1891"/>
        <w:gridCol w:w="483"/>
        <w:gridCol w:w="483"/>
        <w:gridCol w:w="483"/>
        <w:gridCol w:w="522"/>
        <w:gridCol w:w="2083"/>
        <w:gridCol w:w="986"/>
      </w:tblGrid>
      <w:tr w:rsidR="00272ACA" w:rsidRPr="003E3045" w:rsidTr="003E654C">
        <w:trPr>
          <w:trHeight w:val="9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科目代碼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必選修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開課學期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科目英文名稱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備註</w:t>
            </w: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論文與專題討論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8A0" w:rsidRPr="003E654C" w:rsidRDefault="009F2764" w:rsidP="002C6701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654C">
              <w:rPr>
                <w:rFonts w:eastAsia="標楷體"/>
                <w:b/>
              </w:rPr>
              <w:t>4</w:t>
            </w:r>
          </w:p>
          <w:p w:rsidR="00EF28A0" w:rsidRDefault="00EF28A0" w:rsidP="008E00AA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學分</w:t>
            </w:r>
          </w:p>
          <w:p w:rsidR="00101F41" w:rsidRPr="00101F41" w:rsidRDefault="00101F41" w:rsidP="008E00AA">
            <w:pPr>
              <w:snapToGrid w:val="0"/>
              <w:spacing w:line="276" w:lineRule="auto"/>
              <w:jc w:val="center"/>
              <w:rPr>
                <w:rFonts w:eastAsia="標楷體"/>
                <w:b/>
                <w:strike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碩士論文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EED21D00P001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Master Thesis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A0" w:rsidRPr="003E3045" w:rsidRDefault="00EF28A0" w:rsidP="002C6701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研究講座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EED21D00P006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1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1</w:t>
            </w: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一上</w:t>
            </w:r>
          </w:p>
        </w:tc>
        <w:tc>
          <w:tcPr>
            <w:tcW w:w="10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Academic Seminar</w:t>
            </w:r>
            <w:r w:rsidRPr="003E3045">
              <w:rPr>
                <w:rFonts w:eastAsia="標楷體" w:hint="eastAsia"/>
              </w:rPr>
              <w:t xml:space="preserve"> (1)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研究講座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EED21D00P007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1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1</w:t>
            </w: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Academic Seminar</w:t>
            </w:r>
            <w:r w:rsidRPr="003E3045">
              <w:rPr>
                <w:rFonts w:eastAsia="標楷體" w:hint="eastAsia"/>
              </w:rPr>
              <w:t xml:space="preserve"> (2)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9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論文寫作</w:t>
            </w:r>
          </w:p>
        </w:tc>
        <w:tc>
          <w:tcPr>
            <w:tcW w:w="98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EED21D00P008</w:t>
            </w:r>
          </w:p>
        </w:tc>
        <w:tc>
          <w:tcPr>
            <w:tcW w:w="25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25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2</w:t>
            </w:r>
          </w:p>
        </w:tc>
        <w:tc>
          <w:tcPr>
            <w:tcW w:w="25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2</w:t>
            </w:r>
          </w:p>
        </w:tc>
        <w:tc>
          <w:tcPr>
            <w:tcW w:w="27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Thesis Writing</w:t>
            </w:r>
          </w:p>
        </w:tc>
        <w:tc>
          <w:tcPr>
            <w:tcW w:w="512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研究方法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至少</w:t>
            </w:r>
          </w:p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6</w:t>
            </w:r>
          </w:p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教育研究法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EED21D00L001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一上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Research Methods in Education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質性研究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EED22D00L002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Qualitative Research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資料分析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EED22D00L004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Data Analysis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應用統計學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EED22D00L003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Applied Statistics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行動研究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EED22D00L001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Action Research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高等教育統計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EED22D00L005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Advanced Educational Statistics</w:t>
            </w:r>
          </w:p>
        </w:tc>
        <w:tc>
          <w:tcPr>
            <w:tcW w:w="5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課程理論與實務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至少</w:t>
            </w:r>
          </w:p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3</w:t>
            </w:r>
          </w:p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課程設計與發展研究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EED22D00M002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一上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Design and Development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課程政策與改革研究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一上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Policy and Reform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課程理論研究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EED21D00M001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Theories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課程比較研究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EED22D00M001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Comparative Curriculum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磨課師研究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EED22D00M012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Moocs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另類學校課程與教學研究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EED22D00M01</w:t>
            </w:r>
            <w:r w:rsidRPr="003E3045">
              <w:rPr>
                <w:rFonts w:eastAsia="標楷體" w:hint="eastAsia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Alternative Curricula &amp; Teaching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課程史研究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EED22D00M008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</w:t>
            </w:r>
            <w:r w:rsidRPr="003E3045">
              <w:rPr>
                <w:rFonts w:eastAsia="標楷體" w:hint="eastAsia"/>
              </w:rPr>
              <w:t xml:space="preserve"> History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潛在課程研究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EED22D00M005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Hidden Curriculum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多元文化課程與教學研究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Multicultural Curriculum and Instruction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學校本位課程發展研究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School-Based Curriculum Development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統整課程研究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EED22D00M010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Integrated Curriculum</w:t>
            </w:r>
            <w:r w:rsidRPr="003E3045">
              <w:rPr>
                <w:rFonts w:eastAsia="標楷體" w:hint="eastAsia"/>
              </w:rPr>
              <w:t>（</w:t>
            </w:r>
            <w:r w:rsidRPr="003E3045">
              <w:rPr>
                <w:rFonts w:eastAsia="標楷體"/>
              </w:rPr>
              <w:t>Or Curriculum Integration</w:t>
            </w:r>
            <w:r w:rsidRPr="003E3045">
              <w:rPr>
                <w:rFonts w:eastAsia="標楷體" w:hint="eastAsia"/>
              </w:rPr>
              <w:t>）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課程專題研究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EED22D00M011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Special Topics in Curriculum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課程評鑑研究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Evaluation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各國教科書比較研究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EED22D00M009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Comparative Studies of Textbooks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重大教育議題研究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EED22D00M01</w:t>
            </w:r>
            <w:r w:rsidRPr="003E3045">
              <w:rPr>
                <w:rFonts w:eastAsia="標楷體" w:hint="eastAsia"/>
              </w:rPr>
              <w:t>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Significant </w:t>
            </w:r>
            <w:r w:rsidRPr="003E3045">
              <w:rPr>
                <w:rFonts w:eastAsia="標楷體" w:hint="eastAsia"/>
              </w:rPr>
              <w:t>Education</w:t>
            </w:r>
            <w:r w:rsidRPr="003E3045">
              <w:rPr>
                <w:rFonts w:eastAsia="標楷體"/>
              </w:rPr>
              <w:t xml:space="preserve"> Issues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教育課程比較與海外參訪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EED22D00M01</w:t>
            </w:r>
            <w:r w:rsidRPr="003E3045">
              <w:rPr>
                <w:rFonts w:eastAsia="標楷體" w:hint="eastAsia"/>
              </w:rPr>
              <w:t>5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3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Comparison of Educational Curricula &amp; Overseas Visiting</w:t>
            </w:r>
          </w:p>
        </w:tc>
        <w:tc>
          <w:tcPr>
            <w:tcW w:w="5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教學理論與實務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至少</w:t>
            </w:r>
          </w:p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3</w:t>
            </w:r>
          </w:p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E3045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教學理論研究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EED21D00N001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一上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Models of Teaching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教學案例發展與研究</w:t>
            </w:r>
          </w:p>
        </w:tc>
        <w:tc>
          <w:tcPr>
            <w:tcW w:w="9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EED22D00N005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一上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Case Development for Teaching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教學設計與發展研究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一上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Study of Instructional </w:t>
            </w:r>
            <w:r w:rsidRPr="003E3045">
              <w:rPr>
                <w:rFonts w:eastAsia="標楷體" w:hint="eastAsia"/>
              </w:rPr>
              <w:t>D</w:t>
            </w:r>
            <w:r w:rsidRPr="003E3045">
              <w:rPr>
                <w:rFonts w:eastAsia="標楷體"/>
              </w:rPr>
              <w:t>esign and Development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教學視導研究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Instructional Supervision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班級經營研究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Classroom Management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個別化教學研究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Individualized Instruction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教育診斷與評量研究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Educational Measurement and Diagnosis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學習與教學心理學研究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一下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</w:t>
            </w:r>
            <w:r w:rsidRPr="003E3045">
              <w:rPr>
                <w:rFonts w:eastAsia="標楷體" w:hint="eastAsia"/>
              </w:rPr>
              <w:t>Learning</w:t>
            </w:r>
            <w:r w:rsidRPr="003E3045">
              <w:rPr>
                <w:rFonts w:eastAsia="標楷體"/>
              </w:rPr>
              <w:t xml:space="preserve"> </w:t>
            </w:r>
            <w:r w:rsidRPr="003E3045">
              <w:rPr>
                <w:rFonts w:eastAsia="標楷體" w:hint="eastAsia"/>
              </w:rPr>
              <w:t xml:space="preserve">and </w:t>
            </w:r>
            <w:r w:rsidRPr="003E3045">
              <w:rPr>
                <w:rFonts w:eastAsia="標楷體"/>
              </w:rPr>
              <w:t>Instructional Psychology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教學革新研究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Instructional Innovation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教學社會學研究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EED22D00N010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Sociology of Teaching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教師專業發展研究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EED22D00N009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二上</w:t>
            </w:r>
          </w:p>
        </w:tc>
        <w:tc>
          <w:tcPr>
            <w:tcW w:w="1082" w:type="pct"/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Teacher Professional Development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教學專題研究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EED22D00N013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Teacher Teaching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98"/>
        </w:trPr>
        <w:tc>
          <w:tcPr>
            <w:tcW w:w="2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課室歷程研究</w:t>
            </w:r>
          </w:p>
        </w:tc>
        <w:tc>
          <w:tcPr>
            <w:tcW w:w="982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EED22D00N011</w:t>
            </w:r>
          </w:p>
        </w:tc>
        <w:tc>
          <w:tcPr>
            <w:tcW w:w="25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tcBorders>
              <w:bottom w:val="single" w:sz="2" w:space="0" w:color="auto"/>
            </w:tcBorders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Classroom Processes</w:t>
            </w:r>
          </w:p>
        </w:tc>
        <w:tc>
          <w:tcPr>
            <w:tcW w:w="512" w:type="pct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  <w:tr w:rsidR="00272ACA" w:rsidRPr="003E3045" w:rsidTr="003E654C">
        <w:trPr>
          <w:trHeight w:val="3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9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弱勢學童的教與學研究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EED22D00N012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5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27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spacing w:line="240" w:lineRule="exact"/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二下</w:t>
            </w:r>
          </w:p>
        </w:tc>
        <w:tc>
          <w:tcPr>
            <w:tcW w:w="108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2276E" w:rsidRPr="003E3045" w:rsidRDefault="0042276E" w:rsidP="0042276E">
            <w:pPr>
              <w:spacing w:line="240" w:lineRule="exact"/>
              <w:rPr>
                <w:rFonts w:eastAsia="標楷體"/>
              </w:rPr>
            </w:pPr>
            <w:r w:rsidRPr="003E3045">
              <w:rPr>
                <w:rFonts w:eastAsia="標楷體"/>
              </w:rPr>
              <w:t>Teaching and Learning for Exceptional and Disadvantaged Students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6E" w:rsidRPr="003E3045" w:rsidRDefault="0042276E" w:rsidP="0042276E">
            <w:pPr>
              <w:jc w:val="both"/>
              <w:rPr>
                <w:rFonts w:eastAsia="標楷體"/>
              </w:rPr>
            </w:pPr>
          </w:p>
        </w:tc>
      </w:tr>
    </w:tbl>
    <w:p w:rsidR="00C83B78" w:rsidRPr="00EF28A0" w:rsidRDefault="00C83B78"/>
    <w:sectPr w:rsidR="00C83B78" w:rsidRPr="00EF28A0" w:rsidSect="003E65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93" w:rsidRDefault="00FE4893" w:rsidP="00EF28A0">
      <w:r>
        <w:separator/>
      </w:r>
    </w:p>
  </w:endnote>
  <w:endnote w:type="continuationSeparator" w:id="0">
    <w:p w:rsidR="00FE4893" w:rsidRDefault="00FE4893" w:rsidP="00EF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93" w:rsidRDefault="00FE4893" w:rsidP="00EF28A0">
      <w:r>
        <w:separator/>
      </w:r>
    </w:p>
  </w:footnote>
  <w:footnote w:type="continuationSeparator" w:id="0">
    <w:p w:rsidR="00FE4893" w:rsidRDefault="00FE4893" w:rsidP="00EF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1CAB"/>
    <w:multiLevelType w:val="hybridMultilevel"/>
    <w:tmpl w:val="DC80AE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CC"/>
    <w:rsid w:val="00004B3E"/>
    <w:rsid w:val="00012438"/>
    <w:rsid w:val="00027607"/>
    <w:rsid w:val="00101F41"/>
    <w:rsid w:val="0012387D"/>
    <w:rsid w:val="00142E4D"/>
    <w:rsid w:val="00272ACA"/>
    <w:rsid w:val="002D3143"/>
    <w:rsid w:val="00376CCE"/>
    <w:rsid w:val="003E654C"/>
    <w:rsid w:val="0042276E"/>
    <w:rsid w:val="00447F50"/>
    <w:rsid w:val="004E55CC"/>
    <w:rsid w:val="005B7BBF"/>
    <w:rsid w:val="005E57F4"/>
    <w:rsid w:val="006303F5"/>
    <w:rsid w:val="00687457"/>
    <w:rsid w:val="0082181C"/>
    <w:rsid w:val="008E00AA"/>
    <w:rsid w:val="00980439"/>
    <w:rsid w:val="00985C0D"/>
    <w:rsid w:val="009F2764"/>
    <w:rsid w:val="00A7054C"/>
    <w:rsid w:val="00B21A87"/>
    <w:rsid w:val="00B81912"/>
    <w:rsid w:val="00BC7528"/>
    <w:rsid w:val="00C00385"/>
    <w:rsid w:val="00C83B78"/>
    <w:rsid w:val="00D865D6"/>
    <w:rsid w:val="00E120E1"/>
    <w:rsid w:val="00E17B44"/>
    <w:rsid w:val="00E2479C"/>
    <w:rsid w:val="00E9078A"/>
    <w:rsid w:val="00ED717B"/>
    <w:rsid w:val="00EF28A0"/>
    <w:rsid w:val="00F33B73"/>
    <w:rsid w:val="00F45748"/>
    <w:rsid w:val="00FB2F6C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5F98EC-F384-4BF3-86BC-C714500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8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8A0"/>
    <w:rPr>
      <w:sz w:val="20"/>
      <w:szCs w:val="20"/>
    </w:rPr>
  </w:style>
  <w:style w:type="table" w:styleId="a7">
    <w:name w:val="Table Grid"/>
    <w:basedOn w:val="a1"/>
    <w:rsid w:val="00EF28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28A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user20150605</dc:creator>
  <cp:keywords/>
  <dc:description/>
  <cp:lastModifiedBy>admin</cp:lastModifiedBy>
  <cp:revision>20</cp:revision>
  <cp:lastPrinted>2024-06-26T02:07:00Z</cp:lastPrinted>
  <dcterms:created xsi:type="dcterms:W3CDTF">2021-02-25T01:20:00Z</dcterms:created>
  <dcterms:modified xsi:type="dcterms:W3CDTF">2024-08-13T07:01:00Z</dcterms:modified>
</cp:coreProperties>
</file>