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04" w:rsidRPr="00CC4757" w:rsidRDefault="00496E04" w:rsidP="00496E04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C4757">
        <w:rPr>
          <w:rFonts w:ascii="Times New Roman" w:eastAsia="標楷體" w:hAnsi="Times New Roman"/>
          <w:b/>
          <w:sz w:val="36"/>
          <w:szCs w:val="28"/>
        </w:rPr>
        <w:t>國</w:t>
      </w:r>
      <w:r w:rsidRPr="00CC4757">
        <w:rPr>
          <w:rFonts w:ascii="Times New Roman" w:eastAsia="標楷體" w:hAnsi="Times New Roman"/>
          <w:b/>
          <w:sz w:val="36"/>
          <w:szCs w:val="36"/>
        </w:rPr>
        <w:t>立臺東大學</w:t>
      </w:r>
      <w:r w:rsidRPr="00A44112">
        <w:rPr>
          <w:rFonts w:ascii="Times New Roman" w:eastAsia="標楷體" w:hAnsi="Times New Roman"/>
          <w:b/>
          <w:sz w:val="36"/>
          <w:szCs w:val="36"/>
        </w:rPr>
        <w:t>11</w:t>
      </w:r>
      <w:r>
        <w:rPr>
          <w:rFonts w:ascii="Times New Roman" w:eastAsia="標楷體" w:hAnsi="Times New Roman" w:hint="eastAsia"/>
          <w:b/>
          <w:sz w:val="36"/>
          <w:szCs w:val="36"/>
        </w:rPr>
        <w:t>3</w:t>
      </w:r>
      <w:r w:rsidRPr="00CC4757">
        <w:rPr>
          <w:rFonts w:ascii="Times New Roman" w:eastAsia="標楷體" w:hAnsi="Times New Roman"/>
          <w:b/>
          <w:sz w:val="36"/>
          <w:szCs w:val="36"/>
        </w:rPr>
        <w:t>學年度</w:t>
      </w:r>
      <w:r w:rsidRPr="00CC4757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CC4757">
        <w:rPr>
          <w:rFonts w:ascii="Times New Roman" w:eastAsia="標楷體" w:hAnsi="Times New Roman"/>
          <w:b/>
          <w:sz w:val="36"/>
          <w:szCs w:val="36"/>
        </w:rPr>
        <w:t>課程綱要</w:t>
      </w:r>
    </w:p>
    <w:p w:rsidR="00496E04" w:rsidRPr="00CC4757" w:rsidRDefault="00496E04" w:rsidP="00496E04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C4757">
        <w:rPr>
          <w:rFonts w:ascii="Times New Roman" w:eastAsia="標楷體" w:hAnsi="Times New Roman"/>
          <w:b/>
          <w:sz w:val="36"/>
          <w:szCs w:val="36"/>
        </w:rPr>
        <w:t>全校不分系學士學位學程</w:t>
      </w:r>
    </w:p>
    <w:p w:rsidR="00496E04" w:rsidRPr="00B6760F" w:rsidRDefault="00496E04" w:rsidP="00496E04">
      <w:pPr>
        <w:snapToGrid w:val="0"/>
        <w:ind w:right="198"/>
        <w:jc w:val="right"/>
        <w:rPr>
          <w:rFonts w:ascii="Times New Roman" w:eastAsia="標楷體" w:hAnsi="Times New Roman"/>
          <w:bCs/>
          <w:sz w:val="20"/>
          <w:szCs w:val="20"/>
        </w:rPr>
      </w:pPr>
    </w:p>
    <w:p w:rsidR="00496E04" w:rsidRPr="00B6760F" w:rsidRDefault="00496E04" w:rsidP="00496E04">
      <w:pPr>
        <w:snapToGrid w:val="0"/>
        <w:ind w:right="198"/>
        <w:jc w:val="right"/>
        <w:rPr>
          <w:rFonts w:ascii="Times New Roman" w:eastAsia="標楷體" w:hAnsi="Times New Roman"/>
          <w:bCs/>
          <w:sz w:val="20"/>
          <w:szCs w:val="20"/>
        </w:rPr>
      </w:pPr>
      <w:r w:rsidRPr="00B6760F">
        <w:rPr>
          <w:rFonts w:ascii="Times New Roman" w:eastAsia="標楷體" w:hAnsi="Times New Roman"/>
          <w:bCs/>
          <w:sz w:val="20"/>
          <w:szCs w:val="20"/>
        </w:rPr>
        <w:t>112</w:t>
      </w:r>
      <w:r w:rsidRPr="00B6760F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B6760F">
        <w:rPr>
          <w:rFonts w:ascii="Times New Roman" w:eastAsia="標楷體" w:hAnsi="Times New Roman"/>
          <w:bCs/>
          <w:sz w:val="20"/>
          <w:szCs w:val="20"/>
        </w:rPr>
        <w:t>2</w:t>
      </w:r>
      <w:r w:rsidRPr="00B6760F">
        <w:rPr>
          <w:rFonts w:ascii="Times New Roman" w:eastAsia="標楷體" w:hAnsi="Times New Roman"/>
          <w:bCs/>
          <w:sz w:val="20"/>
          <w:szCs w:val="20"/>
        </w:rPr>
        <w:t>學期第</w:t>
      </w:r>
      <w:r w:rsidRPr="00B6760F">
        <w:rPr>
          <w:rFonts w:ascii="Times New Roman" w:eastAsia="標楷體" w:hAnsi="Times New Roman"/>
          <w:bCs/>
          <w:sz w:val="20"/>
          <w:szCs w:val="20"/>
        </w:rPr>
        <w:t>1</w:t>
      </w:r>
      <w:r w:rsidRPr="00B6760F">
        <w:rPr>
          <w:rFonts w:ascii="Times New Roman" w:eastAsia="標楷體" w:hAnsi="Times New Roman"/>
          <w:bCs/>
          <w:sz w:val="20"/>
          <w:szCs w:val="20"/>
        </w:rPr>
        <w:t>次全校不分系學士學位學程課程會議通過</w:t>
      </w:r>
      <w:r w:rsidRPr="00B6760F">
        <w:rPr>
          <w:rFonts w:ascii="Times New Roman" w:eastAsia="標楷體" w:hAnsi="Times New Roman"/>
          <w:bCs/>
          <w:sz w:val="20"/>
          <w:szCs w:val="20"/>
        </w:rPr>
        <w:t>(113.03.13)</w:t>
      </w:r>
    </w:p>
    <w:p w:rsidR="00496E04" w:rsidRPr="00B6760F" w:rsidRDefault="00496E04" w:rsidP="00496E04">
      <w:pPr>
        <w:snapToGrid w:val="0"/>
        <w:ind w:right="198"/>
        <w:jc w:val="right"/>
        <w:rPr>
          <w:rFonts w:ascii="Times New Roman" w:eastAsia="標楷體" w:hAnsi="Times New Roman"/>
          <w:bCs/>
          <w:sz w:val="20"/>
          <w:szCs w:val="20"/>
        </w:rPr>
      </w:pPr>
      <w:r w:rsidRPr="00B6760F">
        <w:rPr>
          <w:rFonts w:ascii="Times New Roman" w:eastAsia="標楷體" w:hAnsi="Times New Roman"/>
          <w:bCs/>
          <w:sz w:val="20"/>
          <w:szCs w:val="20"/>
        </w:rPr>
        <w:t>112</w:t>
      </w:r>
      <w:r w:rsidRPr="00B6760F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B6760F">
        <w:rPr>
          <w:rFonts w:ascii="Times New Roman" w:eastAsia="標楷體" w:hAnsi="Times New Roman"/>
          <w:bCs/>
          <w:sz w:val="20"/>
          <w:szCs w:val="20"/>
        </w:rPr>
        <w:t>2</w:t>
      </w:r>
      <w:r w:rsidRPr="00B6760F">
        <w:rPr>
          <w:rFonts w:ascii="Times New Roman" w:eastAsia="標楷體" w:hAnsi="Times New Roman"/>
          <w:bCs/>
          <w:sz w:val="20"/>
          <w:szCs w:val="20"/>
        </w:rPr>
        <w:t>學期第</w:t>
      </w:r>
      <w:r w:rsidRPr="00B6760F">
        <w:rPr>
          <w:rFonts w:ascii="Times New Roman" w:eastAsia="標楷體" w:hAnsi="Times New Roman"/>
          <w:bCs/>
          <w:sz w:val="20"/>
          <w:szCs w:val="20"/>
        </w:rPr>
        <w:t>1</w:t>
      </w:r>
      <w:r w:rsidRPr="00B6760F">
        <w:rPr>
          <w:rFonts w:ascii="Times New Roman" w:eastAsia="標楷體" w:hAnsi="Times New Roman"/>
          <w:bCs/>
          <w:sz w:val="20"/>
          <w:szCs w:val="20"/>
        </w:rPr>
        <w:t>次通識教育中心</w:t>
      </w:r>
      <w:r w:rsidRPr="00460858">
        <w:rPr>
          <w:rFonts w:ascii="Times New Roman" w:eastAsia="標楷體" w:hAnsi="Times New Roman"/>
          <w:color w:val="000000"/>
          <w:kern w:val="0"/>
          <w:sz w:val="20"/>
          <w:szCs w:val="20"/>
        </w:rPr>
        <w:t>（院級）</w:t>
      </w:r>
      <w:r w:rsidRPr="00B6760F">
        <w:rPr>
          <w:rFonts w:ascii="Times New Roman" w:eastAsia="標楷體" w:hAnsi="Times New Roman"/>
          <w:bCs/>
          <w:sz w:val="20"/>
          <w:szCs w:val="20"/>
        </w:rPr>
        <w:t>課程會議通過</w:t>
      </w:r>
      <w:r w:rsidRPr="00B6760F">
        <w:rPr>
          <w:rFonts w:ascii="Times New Roman" w:eastAsia="標楷體" w:hAnsi="Times New Roman"/>
          <w:bCs/>
          <w:sz w:val="20"/>
          <w:szCs w:val="20"/>
        </w:rPr>
        <w:t>(113.05.08)</w:t>
      </w:r>
    </w:p>
    <w:p w:rsidR="00496E04" w:rsidRPr="00B6760F" w:rsidRDefault="00496E04" w:rsidP="00496E04">
      <w:pPr>
        <w:snapToGrid w:val="0"/>
        <w:ind w:right="198"/>
        <w:jc w:val="right"/>
        <w:rPr>
          <w:rFonts w:ascii="Times New Roman" w:eastAsia="標楷體" w:hAnsi="Times New Roman"/>
          <w:bCs/>
          <w:sz w:val="20"/>
          <w:szCs w:val="20"/>
        </w:rPr>
      </w:pPr>
      <w:r w:rsidRPr="00B6760F">
        <w:rPr>
          <w:rFonts w:ascii="Times New Roman" w:eastAsia="標楷體" w:hAnsi="Times New Roman"/>
          <w:bCs/>
          <w:sz w:val="20"/>
          <w:szCs w:val="20"/>
        </w:rPr>
        <w:t>112</w:t>
      </w:r>
      <w:r w:rsidRPr="00B6760F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B6760F">
        <w:rPr>
          <w:rFonts w:ascii="Times New Roman" w:eastAsia="標楷體" w:hAnsi="Times New Roman"/>
          <w:bCs/>
          <w:sz w:val="20"/>
          <w:szCs w:val="20"/>
        </w:rPr>
        <w:t>2</w:t>
      </w:r>
      <w:r w:rsidRPr="00B6760F">
        <w:rPr>
          <w:rFonts w:ascii="Times New Roman" w:eastAsia="標楷體" w:hAnsi="Times New Roman"/>
          <w:bCs/>
          <w:sz w:val="20"/>
          <w:szCs w:val="20"/>
        </w:rPr>
        <w:t>學期第</w:t>
      </w:r>
      <w:r w:rsidRPr="00B6760F">
        <w:rPr>
          <w:rFonts w:ascii="Times New Roman" w:eastAsia="標楷體" w:hAnsi="Times New Roman"/>
          <w:bCs/>
          <w:sz w:val="20"/>
          <w:szCs w:val="20"/>
        </w:rPr>
        <w:t>2</w:t>
      </w:r>
      <w:r w:rsidRPr="00B6760F">
        <w:rPr>
          <w:rFonts w:ascii="Times New Roman" w:eastAsia="標楷體" w:hAnsi="Times New Roman"/>
          <w:bCs/>
          <w:sz w:val="20"/>
          <w:szCs w:val="20"/>
        </w:rPr>
        <w:t>次校課程會議通過</w:t>
      </w:r>
      <w:r w:rsidRPr="00B6760F">
        <w:rPr>
          <w:rFonts w:ascii="Times New Roman" w:eastAsia="標楷體" w:hAnsi="Times New Roman"/>
          <w:bCs/>
          <w:sz w:val="20"/>
          <w:szCs w:val="20"/>
        </w:rPr>
        <w:t>(113.05.23)</w:t>
      </w:r>
    </w:p>
    <w:p w:rsidR="00496E04" w:rsidRPr="00056954" w:rsidRDefault="00496E04" w:rsidP="00496E04">
      <w:pPr>
        <w:snapToGrid w:val="0"/>
        <w:ind w:right="198"/>
        <w:jc w:val="right"/>
        <w:rPr>
          <w:rFonts w:ascii="Times New Roman" w:eastAsia="標楷體" w:hAnsi="Times New Roman"/>
          <w:bCs/>
          <w:sz w:val="20"/>
          <w:szCs w:val="20"/>
        </w:rPr>
      </w:pPr>
      <w:r w:rsidRPr="00056954">
        <w:rPr>
          <w:rFonts w:ascii="Times New Roman" w:eastAsia="標楷體" w:hAnsi="Times New Roman"/>
          <w:bCs/>
          <w:sz w:val="20"/>
          <w:szCs w:val="20"/>
        </w:rPr>
        <w:t>113</w:t>
      </w:r>
      <w:r w:rsidRPr="00056954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056954">
        <w:rPr>
          <w:rFonts w:ascii="Times New Roman" w:eastAsia="標楷體" w:hAnsi="Times New Roman"/>
          <w:bCs/>
          <w:sz w:val="20"/>
          <w:szCs w:val="20"/>
        </w:rPr>
        <w:t>2</w:t>
      </w:r>
      <w:r w:rsidRPr="00056954">
        <w:rPr>
          <w:rFonts w:ascii="Times New Roman" w:eastAsia="標楷體" w:hAnsi="Times New Roman"/>
          <w:bCs/>
          <w:sz w:val="20"/>
          <w:szCs w:val="20"/>
        </w:rPr>
        <w:t>學期第</w:t>
      </w:r>
      <w:r w:rsidRPr="00056954">
        <w:rPr>
          <w:rFonts w:ascii="Times New Roman" w:eastAsia="標楷體" w:hAnsi="Times New Roman"/>
          <w:bCs/>
          <w:sz w:val="20"/>
          <w:szCs w:val="20"/>
        </w:rPr>
        <w:t>1</w:t>
      </w:r>
      <w:r w:rsidRPr="00056954">
        <w:rPr>
          <w:rFonts w:ascii="Times New Roman" w:eastAsia="標楷體" w:hAnsi="Times New Roman"/>
          <w:bCs/>
          <w:sz w:val="20"/>
          <w:szCs w:val="20"/>
        </w:rPr>
        <w:t>次全校不分系學士學位學程課程會議修正通過</w:t>
      </w:r>
      <w:r w:rsidRPr="00056954">
        <w:rPr>
          <w:rFonts w:ascii="Times New Roman" w:eastAsia="標楷體" w:hAnsi="Times New Roman"/>
          <w:bCs/>
          <w:sz w:val="20"/>
          <w:szCs w:val="20"/>
        </w:rPr>
        <w:t>(114.04.22)</w:t>
      </w:r>
    </w:p>
    <w:p w:rsidR="00496E04" w:rsidRPr="001C203E" w:rsidRDefault="00496E04" w:rsidP="00496E04">
      <w:pPr>
        <w:snapToGrid w:val="0"/>
        <w:ind w:right="198"/>
        <w:jc w:val="right"/>
        <w:rPr>
          <w:rFonts w:ascii="Times New Roman" w:eastAsia="標楷體" w:hAnsi="Times New Roman"/>
          <w:bCs/>
          <w:sz w:val="20"/>
          <w:szCs w:val="20"/>
        </w:rPr>
      </w:pPr>
      <w:r w:rsidRPr="001C203E">
        <w:rPr>
          <w:rFonts w:ascii="Times New Roman" w:eastAsia="標楷體" w:hAnsi="Times New Roman"/>
          <w:bCs/>
          <w:sz w:val="20"/>
          <w:szCs w:val="20"/>
        </w:rPr>
        <w:t>11</w:t>
      </w:r>
      <w:r w:rsidRPr="001C203E">
        <w:rPr>
          <w:rFonts w:ascii="Times New Roman" w:eastAsia="標楷體" w:hAnsi="Times New Roman" w:hint="eastAsia"/>
          <w:bCs/>
          <w:sz w:val="20"/>
          <w:szCs w:val="20"/>
        </w:rPr>
        <w:t>3</w:t>
      </w:r>
      <w:r w:rsidRPr="001C203E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1C203E">
        <w:rPr>
          <w:rFonts w:ascii="Times New Roman" w:eastAsia="標楷體" w:hAnsi="Times New Roman"/>
          <w:bCs/>
          <w:sz w:val="20"/>
          <w:szCs w:val="20"/>
        </w:rPr>
        <w:t>2</w:t>
      </w:r>
      <w:r w:rsidRPr="001C203E">
        <w:rPr>
          <w:rFonts w:ascii="Times New Roman" w:eastAsia="標楷體" w:hAnsi="Times New Roman"/>
          <w:bCs/>
          <w:sz w:val="20"/>
          <w:szCs w:val="20"/>
        </w:rPr>
        <w:t>學期第</w:t>
      </w:r>
      <w:r w:rsidRPr="001C203E">
        <w:rPr>
          <w:rFonts w:ascii="Times New Roman" w:eastAsia="標楷體" w:hAnsi="Times New Roman"/>
          <w:bCs/>
          <w:sz w:val="20"/>
          <w:szCs w:val="20"/>
        </w:rPr>
        <w:t>1</w:t>
      </w:r>
      <w:r w:rsidRPr="001C203E">
        <w:rPr>
          <w:rFonts w:ascii="Times New Roman" w:eastAsia="標楷體" w:hAnsi="Times New Roman"/>
          <w:bCs/>
          <w:sz w:val="20"/>
          <w:szCs w:val="20"/>
        </w:rPr>
        <w:t>次通識教育中心</w:t>
      </w:r>
      <w:r w:rsidRPr="001C203E">
        <w:rPr>
          <w:rFonts w:ascii="Times New Roman" w:eastAsia="標楷體" w:hAnsi="Times New Roman" w:hint="eastAsia"/>
          <w:bCs/>
          <w:sz w:val="20"/>
          <w:szCs w:val="20"/>
        </w:rPr>
        <w:t>（院級）</w:t>
      </w:r>
      <w:r w:rsidRPr="001C203E">
        <w:rPr>
          <w:rFonts w:ascii="Times New Roman" w:eastAsia="標楷體" w:hAnsi="Times New Roman"/>
          <w:bCs/>
          <w:sz w:val="20"/>
          <w:szCs w:val="20"/>
        </w:rPr>
        <w:t>課程會議</w:t>
      </w:r>
      <w:r w:rsidRPr="001C203E">
        <w:rPr>
          <w:rFonts w:ascii="Times New Roman" w:eastAsia="標楷體" w:hAnsi="Times New Roman" w:hint="eastAsia"/>
          <w:bCs/>
          <w:sz w:val="20"/>
          <w:szCs w:val="20"/>
        </w:rPr>
        <w:t>修正</w:t>
      </w:r>
      <w:r w:rsidRPr="001C203E">
        <w:rPr>
          <w:rFonts w:ascii="Times New Roman" w:eastAsia="標楷體" w:hAnsi="Times New Roman"/>
          <w:bCs/>
          <w:sz w:val="20"/>
          <w:szCs w:val="20"/>
        </w:rPr>
        <w:t>通過</w:t>
      </w:r>
      <w:r w:rsidRPr="001C203E">
        <w:rPr>
          <w:rFonts w:ascii="Times New Roman" w:eastAsia="標楷體" w:hAnsi="Times New Roman"/>
          <w:bCs/>
          <w:sz w:val="20"/>
          <w:szCs w:val="20"/>
        </w:rPr>
        <w:t>(11</w:t>
      </w:r>
      <w:r w:rsidRPr="001C203E">
        <w:rPr>
          <w:rFonts w:ascii="Times New Roman" w:eastAsia="標楷體" w:hAnsi="Times New Roman" w:hint="eastAsia"/>
          <w:bCs/>
          <w:sz w:val="20"/>
          <w:szCs w:val="20"/>
        </w:rPr>
        <w:t>4</w:t>
      </w:r>
      <w:r w:rsidRPr="001C203E">
        <w:rPr>
          <w:rFonts w:ascii="Times New Roman" w:eastAsia="標楷體" w:hAnsi="Times New Roman"/>
          <w:bCs/>
          <w:sz w:val="20"/>
          <w:szCs w:val="20"/>
        </w:rPr>
        <w:t>.05.</w:t>
      </w:r>
      <w:r w:rsidRPr="001C203E">
        <w:rPr>
          <w:rFonts w:ascii="Times New Roman" w:eastAsia="標楷體" w:hAnsi="Times New Roman" w:hint="eastAsia"/>
          <w:bCs/>
          <w:sz w:val="20"/>
          <w:szCs w:val="20"/>
        </w:rPr>
        <w:t>13</w:t>
      </w:r>
      <w:r w:rsidRPr="001C203E">
        <w:rPr>
          <w:rFonts w:ascii="Times New Roman" w:eastAsia="標楷體" w:hAnsi="Times New Roman"/>
          <w:bCs/>
          <w:sz w:val="20"/>
          <w:szCs w:val="20"/>
        </w:rPr>
        <w:t>)</w:t>
      </w:r>
      <w:bookmarkStart w:id="0" w:name="_GoBack"/>
      <w:bookmarkEnd w:id="0"/>
    </w:p>
    <w:p w:rsidR="00496E04" w:rsidRPr="00496E04" w:rsidRDefault="00496E04" w:rsidP="00496E04">
      <w:pPr>
        <w:snapToGrid w:val="0"/>
        <w:ind w:right="198"/>
        <w:jc w:val="right"/>
        <w:rPr>
          <w:rFonts w:ascii="Times New Roman" w:eastAsia="標楷體" w:hAnsi="Times New Roman"/>
          <w:bCs/>
          <w:sz w:val="20"/>
          <w:szCs w:val="20"/>
        </w:rPr>
      </w:pPr>
      <w:r w:rsidRPr="00496E04">
        <w:rPr>
          <w:rFonts w:ascii="Times New Roman" w:eastAsia="標楷體" w:hAnsi="Times New Roman"/>
          <w:bCs/>
          <w:sz w:val="20"/>
          <w:szCs w:val="20"/>
        </w:rPr>
        <w:t>11</w:t>
      </w:r>
      <w:r w:rsidRPr="00496E04">
        <w:rPr>
          <w:rFonts w:ascii="Times New Roman" w:eastAsia="標楷體" w:hAnsi="Times New Roman" w:hint="eastAsia"/>
          <w:bCs/>
          <w:sz w:val="20"/>
          <w:szCs w:val="20"/>
        </w:rPr>
        <w:t>3</w:t>
      </w:r>
      <w:r w:rsidRPr="00496E04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496E04">
        <w:rPr>
          <w:rFonts w:ascii="Times New Roman" w:eastAsia="標楷體" w:hAnsi="Times New Roman"/>
          <w:bCs/>
          <w:sz w:val="20"/>
          <w:szCs w:val="20"/>
        </w:rPr>
        <w:t>2</w:t>
      </w:r>
      <w:r w:rsidRPr="00496E04">
        <w:rPr>
          <w:rFonts w:ascii="Times New Roman" w:eastAsia="標楷體" w:hAnsi="Times New Roman"/>
          <w:bCs/>
          <w:sz w:val="20"/>
          <w:szCs w:val="20"/>
        </w:rPr>
        <w:t>學期第</w:t>
      </w:r>
      <w:r w:rsidRPr="00496E04">
        <w:rPr>
          <w:rFonts w:ascii="Times New Roman" w:eastAsia="標楷體" w:hAnsi="Times New Roman" w:hint="eastAsia"/>
          <w:bCs/>
          <w:sz w:val="20"/>
          <w:szCs w:val="20"/>
        </w:rPr>
        <w:t>1</w:t>
      </w:r>
      <w:r w:rsidRPr="00496E04">
        <w:rPr>
          <w:rFonts w:ascii="Times New Roman" w:eastAsia="標楷體" w:hAnsi="Times New Roman"/>
          <w:bCs/>
          <w:sz w:val="20"/>
          <w:szCs w:val="20"/>
        </w:rPr>
        <w:t>次校課程會議</w:t>
      </w:r>
      <w:r w:rsidRPr="00496E04">
        <w:rPr>
          <w:rFonts w:ascii="Times New Roman" w:eastAsia="標楷體" w:hAnsi="Times New Roman" w:hint="eastAsia"/>
          <w:bCs/>
          <w:sz w:val="20"/>
          <w:szCs w:val="20"/>
        </w:rPr>
        <w:t>修正</w:t>
      </w:r>
      <w:r w:rsidRPr="00496E04">
        <w:rPr>
          <w:rFonts w:ascii="Times New Roman" w:eastAsia="標楷體" w:hAnsi="Times New Roman"/>
          <w:bCs/>
          <w:sz w:val="20"/>
          <w:szCs w:val="20"/>
        </w:rPr>
        <w:t>通過</w:t>
      </w:r>
      <w:r w:rsidRPr="00496E04">
        <w:rPr>
          <w:rFonts w:ascii="Times New Roman" w:eastAsia="標楷體" w:hAnsi="Times New Roman"/>
          <w:bCs/>
          <w:sz w:val="20"/>
          <w:szCs w:val="20"/>
        </w:rPr>
        <w:t>(11</w:t>
      </w:r>
      <w:r w:rsidRPr="00496E04">
        <w:rPr>
          <w:rFonts w:ascii="Times New Roman" w:eastAsia="標楷體" w:hAnsi="Times New Roman" w:hint="eastAsia"/>
          <w:bCs/>
          <w:sz w:val="20"/>
          <w:szCs w:val="20"/>
        </w:rPr>
        <w:t>4</w:t>
      </w:r>
      <w:r w:rsidRPr="00496E04">
        <w:rPr>
          <w:rFonts w:ascii="Times New Roman" w:eastAsia="標楷體" w:hAnsi="Times New Roman"/>
          <w:bCs/>
          <w:sz w:val="20"/>
          <w:szCs w:val="20"/>
        </w:rPr>
        <w:t>.05.</w:t>
      </w:r>
      <w:r w:rsidRPr="00496E04">
        <w:rPr>
          <w:rFonts w:ascii="Times New Roman" w:eastAsia="標楷體" w:hAnsi="Times New Roman" w:hint="eastAsia"/>
          <w:bCs/>
          <w:sz w:val="20"/>
          <w:szCs w:val="20"/>
        </w:rPr>
        <w:t>22</w:t>
      </w:r>
      <w:r w:rsidRPr="00496E04">
        <w:rPr>
          <w:rFonts w:ascii="Times New Roman" w:eastAsia="標楷體" w:hAnsi="Times New Roman"/>
          <w:bCs/>
          <w:sz w:val="20"/>
          <w:szCs w:val="20"/>
        </w:rPr>
        <w:t>)</w:t>
      </w:r>
    </w:p>
    <w:p w:rsidR="00496E04" w:rsidRPr="00CC4757" w:rsidRDefault="00496E04" w:rsidP="00496E04">
      <w:pPr>
        <w:tabs>
          <w:tab w:val="left" w:pos="6490"/>
        </w:tabs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szCs w:val="24"/>
        </w:rPr>
      </w:pPr>
      <w:r w:rsidRPr="00CC4757">
        <w:rPr>
          <w:rFonts w:ascii="Times New Roman" w:eastAsia="標楷體" w:hAnsi="Times New Roman"/>
          <w:b/>
          <w:bCs/>
          <w:szCs w:val="24"/>
        </w:rPr>
        <w:t>壹、目標</w:t>
      </w:r>
    </w:p>
    <w:p w:rsidR="00496E04" w:rsidRPr="00CC4757" w:rsidRDefault="00496E04" w:rsidP="00496E04">
      <w:pPr>
        <w:snapToGrid w:val="0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C4757">
        <w:rPr>
          <w:rFonts w:ascii="Times New Roman" w:eastAsia="標楷體" w:hAnsi="Times New Roman"/>
          <w:bCs/>
          <w:szCs w:val="24"/>
        </w:rPr>
        <w:t>本校自</w:t>
      </w:r>
      <w:r w:rsidRPr="00CC4757">
        <w:rPr>
          <w:rFonts w:ascii="Times New Roman" w:eastAsia="標楷體" w:hAnsi="Times New Roman"/>
          <w:bCs/>
          <w:szCs w:val="24"/>
        </w:rPr>
        <w:t>111</w:t>
      </w:r>
      <w:r w:rsidRPr="00CC4757">
        <w:rPr>
          <w:rFonts w:ascii="Times New Roman" w:eastAsia="標楷體" w:hAnsi="Times New Roman"/>
          <w:bCs/>
          <w:szCs w:val="24"/>
        </w:rPr>
        <w:t>學年度起增設「全校不分系學士學位學程」，以本校推動中的「綠色國際大學」為基礎，融入「人文社會」素養，以及科學應用之「永續發展」與「綠色生產」兩大知識領域為主要發展目標，盼能透過多元化學習，培養跨領域人才，強化學子適才適性發展。</w:t>
      </w:r>
    </w:p>
    <w:p w:rsidR="00496E04" w:rsidRPr="00CC4757" w:rsidRDefault="00496E04" w:rsidP="00496E04">
      <w:pPr>
        <w:spacing w:beforeLines="50" w:before="180"/>
        <w:ind w:leftChars="-97" w:left="-233" w:firstLineChars="100" w:firstLine="240"/>
        <w:jc w:val="both"/>
        <w:rPr>
          <w:rFonts w:ascii="Times New Roman" w:eastAsia="標楷體" w:hAnsi="Times New Roman"/>
          <w:b/>
          <w:bCs/>
          <w:szCs w:val="24"/>
        </w:rPr>
      </w:pPr>
      <w:r w:rsidRPr="00CC4757">
        <w:rPr>
          <w:rFonts w:ascii="Times New Roman" w:eastAsia="標楷體" w:hAnsi="Times New Roman"/>
          <w:b/>
          <w:bCs/>
          <w:szCs w:val="24"/>
        </w:rPr>
        <w:t>貳、課程結構</w:t>
      </w:r>
    </w:p>
    <w:p w:rsidR="00496E04" w:rsidRPr="00CC4757" w:rsidRDefault="00496E04" w:rsidP="00496E04">
      <w:pPr>
        <w:snapToGrid w:val="0"/>
        <w:ind w:firstLineChars="200" w:firstLine="480"/>
        <w:jc w:val="both"/>
        <w:rPr>
          <w:rFonts w:ascii="Times New Roman" w:eastAsia="標楷體" w:hAnsi="Times New Roman"/>
          <w:bCs/>
          <w:szCs w:val="24"/>
        </w:rPr>
      </w:pPr>
      <w:r w:rsidRPr="00CC4757">
        <w:rPr>
          <w:rFonts w:ascii="Times New Roman" w:eastAsia="標楷體" w:hAnsi="Times New Roman"/>
          <w:bCs/>
          <w:szCs w:val="24"/>
        </w:rPr>
        <w:t>本學位學程課程分為「</w:t>
      </w:r>
      <w:r w:rsidRPr="00CC4757">
        <w:rPr>
          <w:rFonts w:ascii="Times New Roman" w:eastAsia="標楷體" w:hAnsi="Times New Roman"/>
          <w:bCs/>
        </w:rPr>
        <w:t>通識教育課程</w:t>
      </w:r>
      <w:r w:rsidRPr="00CC4757">
        <w:rPr>
          <w:rFonts w:ascii="Times New Roman" w:eastAsia="標楷體" w:hAnsi="Times New Roman"/>
          <w:bCs/>
          <w:szCs w:val="24"/>
        </w:rPr>
        <w:t>」、「不分系共同課程」、「學系專長課程」及「自由選修課程」。本學程學生可依個人興趣修讀「人文學院」、「師範學院」與「理工學院」三個學院之任一個學系</w:t>
      </w:r>
      <w:r w:rsidRPr="00CC4757">
        <w:rPr>
          <w:rFonts w:ascii="Times New Roman" w:eastAsia="標楷體" w:hAnsi="Times New Roman" w:hint="eastAsia"/>
          <w:bCs/>
          <w:szCs w:val="24"/>
        </w:rPr>
        <w:t>（</w:t>
      </w:r>
      <w:r w:rsidRPr="00CC4757">
        <w:rPr>
          <w:rFonts w:ascii="Times New Roman" w:eastAsia="標楷體" w:hAnsi="Times New Roman"/>
          <w:bCs/>
          <w:szCs w:val="24"/>
        </w:rPr>
        <w:t>學程</w:t>
      </w:r>
      <w:r w:rsidRPr="00CC4757">
        <w:rPr>
          <w:rFonts w:ascii="Times New Roman" w:eastAsia="標楷體" w:hAnsi="Times New Roman" w:hint="eastAsia"/>
          <w:bCs/>
          <w:szCs w:val="24"/>
        </w:rPr>
        <w:t>、專班）主修</w:t>
      </w:r>
      <w:r w:rsidRPr="00CC4757">
        <w:rPr>
          <w:rFonts w:ascii="Times New Roman" w:eastAsia="標楷體" w:hAnsi="Times New Roman"/>
          <w:bCs/>
          <w:szCs w:val="24"/>
        </w:rPr>
        <w:t>專長課程，畢業證書上將註記主修專長。課程結構如下：</w:t>
      </w:r>
    </w:p>
    <w:p w:rsidR="00496E04" w:rsidRPr="00CC4757" w:rsidRDefault="00496E04" w:rsidP="00496E04">
      <w:pPr>
        <w:snapToGrid w:val="0"/>
        <w:ind w:firstLineChars="200" w:firstLine="480"/>
        <w:jc w:val="both"/>
        <w:rPr>
          <w:rFonts w:ascii="Times New Roman" w:eastAsia="標楷體" w:hAnsi="Times New Roman"/>
          <w:b/>
          <w:bCs/>
          <w:szCs w:val="24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991"/>
        <w:gridCol w:w="4110"/>
        <w:gridCol w:w="2555"/>
      </w:tblGrid>
      <w:tr w:rsidR="00496E04" w:rsidRPr="00CC4757" w:rsidTr="000A1612">
        <w:trPr>
          <w:trHeight w:val="397"/>
          <w:jc w:val="center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CC475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課</w:t>
            </w:r>
            <w:r w:rsidRPr="00CC475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  </w:t>
            </w:r>
            <w:r w:rsidRPr="00CC475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程</w:t>
            </w:r>
            <w:r w:rsidRPr="00CC475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  </w:t>
            </w:r>
            <w:r w:rsidRPr="00CC475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類</w:t>
            </w:r>
            <w:r w:rsidRPr="00CC475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 xml:space="preserve">   </w:t>
            </w:r>
            <w:r w:rsidRPr="00CC475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CC4757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學分數合計</w:t>
            </w:r>
          </w:p>
        </w:tc>
      </w:tr>
      <w:tr w:rsidR="00496E04" w:rsidRPr="00CC4757" w:rsidTr="000A1612">
        <w:trPr>
          <w:trHeight w:val="11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</w:rPr>
              <w:t>通識教育課程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</w:rPr>
              <w:t>詳見通識教育中心課程綱要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</w:rPr>
              <w:t>28</w:t>
            </w:r>
            <w:r w:rsidRPr="00CC4757">
              <w:rPr>
                <w:rFonts w:ascii="Times New Roman" w:eastAsia="標楷體" w:hAnsi="Times New Roman"/>
                <w:bCs/>
              </w:rPr>
              <w:t>學分</w:t>
            </w:r>
          </w:p>
        </w:tc>
      </w:tr>
      <w:tr w:rsidR="00496E04" w:rsidRPr="00CC4757" w:rsidTr="000A1612">
        <w:trPr>
          <w:trHeight w:val="598"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不分系共同課程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</w:rPr>
              <w:t>必修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04" w:rsidRPr="00524D89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4D89">
              <w:rPr>
                <w:rFonts w:ascii="Times New Roman" w:eastAsia="標楷體" w:hAnsi="Times New Roman" w:hint="eastAsia"/>
                <w:bCs/>
                <w:szCs w:val="24"/>
              </w:rPr>
              <w:t>20</w:t>
            </w:r>
            <w:r w:rsidRPr="00524D89">
              <w:rPr>
                <w:rFonts w:ascii="Times New Roman" w:eastAsia="標楷體" w:hAnsi="Times New Roman"/>
                <w:bCs/>
                <w:szCs w:val="24"/>
              </w:rPr>
              <w:t>學分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CC4757">
              <w:rPr>
                <w:rFonts w:ascii="Times New Roman" w:eastAsia="標楷體" w:hAnsi="Times New Roman"/>
                <w:bCs/>
              </w:rPr>
              <w:t>30</w:t>
            </w:r>
            <w:r w:rsidRPr="00CC4757">
              <w:rPr>
                <w:rFonts w:ascii="Times New Roman" w:eastAsia="標楷體" w:hAnsi="Times New Roman"/>
                <w:bCs/>
              </w:rPr>
              <w:t>學分</w:t>
            </w:r>
          </w:p>
        </w:tc>
      </w:tr>
      <w:tr w:rsidR="00496E04" w:rsidRPr="00CC4757" w:rsidTr="000A1612">
        <w:trPr>
          <w:trHeight w:val="598"/>
          <w:jc w:val="center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選修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04" w:rsidRPr="00524D89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4D89"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  <w:r w:rsidRPr="00524D89">
              <w:rPr>
                <w:rFonts w:ascii="Times New Roman" w:eastAsia="標楷體" w:hAnsi="Times New Roman"/>
                <w:bCs/>
                <w:szCs w:val="24"/>
              </w:rPr>
              <w:t>學分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widowControl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496E04" w:rsidRPr="00CC4757" w:rsidTr="000A1612">
        <w:trPr>
          <w:trHeight w:val="216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學系專長課程</w:t>
            </w:r>
          </w:p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 w:val="22"/>
                <w:szCs w:val="24"/>
              </w:rPr>
              <w:t>（註記專長於畢業證書）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E04" w:rsidRPr="00CC4757" w:rsidRDefault="00496E04" w:rsidP="000A1612">
            <w:pPr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  <w:r w:rsidRPr="00CC4757">
              <w:rPr>
                <w:rFonts w:ascii="Times New Roman" w:eastAsia="標楷體" w:hAnsi="Times New Roman"/>
                <w:bCs/>
              </w:rPr>
              <w:t>依據所選</w:t>
            </w:r>
            <w:r w:rsidRPr="00CC4757">
              <w:rPr>
                <w:rFonts w:ascii="標楷體" w:eastAsia="標楷體" w:hAnsi="標楷體" w:hint="eastAsia"/>
              </w:rPr>
              <w:t>學系（其他學程、專班）</w:t>
            </w:r>
            <w:r w:rsidRPr="00CC4757">
              <w:rPr>
                <w:rFonts w:ascii="Times New Roman" w:eastAsia="標楷體" w:hAnsi="Times New Roman"/>
                <w:bCs/>
              </w:rPr>
              <w:t>必修學分（含基礎及核心模組）</w:t>
            </w:r>
            <w:r w:rsidRPr="00617295">
              <w:rPr>
                <w:rFonts w:ascii="Times New Roman" w:eastAsia="標楷體" w:hAnsi="Times New Roman"/>
                <w:bCs/>
                <w:color w:val="FF0000"/>
              </w:rPr>
              <w:t>至少</w:t>
            </w:r>
            <w:r w:rsidRPr="00617295">
              <w:rPr>
                <w:rFonts w:ascii="Times New Roman" w:eastAsia="標楷體" w:hAnsi="Times New Roman" w:hint="eastAsia"/>
                <w:bCs/>
                <w:color w:val="FF0000"/>
              </w:rPr>
              <w:t>40</w:t>
            </w:r>
            <w:r w:rsidRPr="00617295">
              <w:rPr>
                <w:rFonts w:ascii="Times New Roman" w:eastAsia="標楷體" w:hAnsi="Times New Roman" w:hint="eastAsia"/>
                <w:bCs/>
                <w:color w:val="FF0000"/>
              </w:rPr>
              <w:t>學分</w:t>
            </w:r>
            <w:r w:rsidRPr="00CC4757">
              <w:rPr>
                <w:rFonts w:ascii="Times New Roman" w:eastAsia="標楷體" w:hAnsi="Times New Roman"/>
                <w:bCs/>
              </w:rPr>
              <w:t>，若該</w:t>
            </w:r>
            <w:r w:rsidRPr="00CC4757">
              <w:rPr>
                <w:rFonts w:ascii="標楷體" w:eastAsia="標楷體" w:hAnsi="標楷體" w:hint="eastAsia"/>
              </w:rPr>
              <w:t>學系（其他學程、專班）</w:t>
            </w:r>
            <w:r w:rsidRPr="00CC4757">
              <w:rPr>
                <w:rFonts w:ascii="Times New Roman" w:eastAsia="標楷體" w:hAnsi="Times New Roman"/>
                <w:bCs/>
              </w:rPr>
              <w:t>基礎及核心模組必修課程不</w:t>
            </w:r>
            <w:r w:rsidRPr="005170E8">
              <w:rPr>
                <w:rFonts w:ascii="Times New Roman" w:eastAsia="標楷體" w:hAnsi="Times New Roman"/>
                <w:bCs/>
              </w:rPr>
              <w:t>足</w:t>
            </w:r>
            <w:r w:rsidRPr="00454926">
              <w:rPr>
                <w:rFonts w:ascii="Times New Roman" w:eastAsia="標楷體" w:hAnsi="Times New Roman" w:hint="eastAsia"/>
                <w:bCs/>
                <w:dstrike/>
                <w:color w:val="FF0000"/>
              </w:rPr>
              <w:t>50</w:t>
            </w:r>
            <w:r w:rsidRPr="00454926">
              <w:rPr>
                <w:rFonts w:hint="eastAsia"/>
              </w:rPr>
              <w:t xml:space="preserve"> </w:t>
            </w:r>
            <w:r w:rsidRPr="00617295">
              <w:rPr>
                <w:rFonts w:ascii="Times New Roman" w:eastAsia="標楷體" w:hAnsi="Times New Roman" w:hint="eastAsia"/>
                <w:bCs/>
                <w:color w:val="FF0000"/>
              </w:rPr>
              <w:t>4</w:t>
            </w:r>
            <w:r w:rsidRPr="00617295">
              <w:rPr>
                <w:rFonts w:ascii="Times New Roman" w:eastAsia="標楷體" w:hAnsi="Times New Roman"/>
                <w:bCs/>
                <w:color w:val="FF0000"/>
              </w:rPr>
              <w:t>0</w:t>
            </w:r>
            <w:r w:rsidRPr="00CC4757">
              <w:rPr>
                <w:rFonts w:ascii="Times New Roman" w:eastAsia="標楷體" w:hAnsi="Times New Roman"/>
                <w:bCs/>
              </w:rPr>
              <w:t>學分，得以該</w:t>
            </w:r>
            <w:r w:rsidRPr="00CC4757">
              <w:rPr>
                <w:rFonts w:ascii="標楷體" w:eastAsia="標楷體" w:hAnsi="標楷體" w:hint="eastAsia"/>
              </w:rPr>
              <w:t>學系（其他學程、專班）</w:t>
            </w:r>
            <w:r w:rsidRPr="00CC4757">
              <w:rPr>
                <w:rFonts w:ascii="Times New Roman" w:eastAsia="標楷體" w:hAnsi="Times New Roman"/>
                <w:bCs/>
              </w:rPr>
              <w:t>必修或選修課程補足（參見各</w:t>
            </w:r>
            <w:r w:rsidRPr="00CC4757">
              <w:rPr>
                <w:rFonts w:ascii="標楷體" w:eastAsia="標楷體" w:hAnsi="標楷體" w:hint="eastAsia"/>
              </w:rPr>
              <w:t>學系</w:t>
            </w:r>
            <w:r w:rsidRPr="00EE6CAE">
              <w:rPr>
                <w:rFonts w:ascii="標楷體" w:eastAsia="標楷體" w:hAnsi="標楷體" w:hint="eastAsia"/>
              </w:rPr>
              <w:t>、</w:t>
            </w:r>
            <w:r w:rsidRPr="00CC4757">
              <w:rPr>
                <w:rFonts w:ascii="標楷體" w:eastAsia="標楷體" w:hAnsi="標楷體" w:hint="eastAsia"/>
              </w:rPr>
              <w:t>其他學程、專班</w:t>
            </w:r>
            <w:r w:rsidRPr="00CC4757">
              <w:rPr>
                <w:rFonts w:ascii="Times New Roman" w:eastAsia="標楷體" w:hAnsi="Times New Roman"/>
                <w:bCs/>
              </w:rPr>
              <w:t>必修學分課程）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E04" w:rsidRPr="00CC4757" w:rsidRDefault="00496E04" w:rsidP="000A1612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54926">
              <w:rPr>
                <w:rFonts w:ascii="Times New Roman" w:eastAsia="標楷體" w:hAnsi="Times New Roman" w:hint="eastAsia"/>
                <w:bCs/>
                <w:dstrike/>
                <w:color w:val="FF0000"/>
              </w:rPr>
              <w:t>50</w:t>
            </w:r>
            <w:r w:rsidRPr="00454926">
              <w:rPr>
                <w:rFonts w:hint="eastAsia"/>
              </w:rPr>
              <w:t xml:space="preserve"> </w:t>
            </w:r>
            <w:r w:rsidRPr="00617295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40</w:t>
            </w:r>
            <w:r w:rsidRPr="00CC4757">
              <w:rPr>
                <w:rFonts w:ascii="Times New Roman" w:eastAsia="標楷體" w:hAnsi="Times New Roman"/>
                <w:bCs/>
                <w:szCs w:val="24"/>
              </w:rPr>
              <w:t>學分</w:t>
            </w:r>
          </w:p>
        </w:tc>
      </w:tr>
      <w:tr w:rsidR="00496E04" w:rsidRPr="00CC4757" w:rsidTr="000A1612">
        <w:trPr>
          <w:trHeight w:val="223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</w:rPr>
              <w:t>自由選修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通識教育課程之跨領域核心課程</w:t>
            </w:r>
          </w:p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ind w:left="179" w:hanging="179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院共同課程</w:t>
            </w:r>
          </w:p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ind w:left="179" w:hanging="179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系基礎模組</w:t>
            </w:r>
          </w:p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ind w:left="179" w:hanging="179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系核心模組</w:t>
            </w:r>
          </w:p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ind w:left="179" w:hanging="179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系專業模組</w:t>
            </w:r>
          </w:p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ind w:left="179" w:hanging="179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跨領域模組</w:t>
            </w:r>
          </w:p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ind w:left="179" w:hanging="179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雙主修、副修、輔系</w:t>
            </w:r>
          </w:p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ind w:left="179" w:hanging="179"/>
              <w:rPr>
                <w:rFonts w:ascii="Times New Roman" w:eastAsia="標楷體" w:hAnsi="Times New Roman"/>
                <w:kern w:val="0"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各類學程</w:t>
            </w:r>
          </w:p>
          <w:p w:rsidR="00496E04" w:rsidRPr="00CC4757" w:rsidRDefault="00496E04" w:rsidP="00496E04">
            <w:pPr>
              <w:widowControl/>
              <w:numPr>
                <w:ilvl w:val="0"/>
                <w:numId w:val="6"/>
              </w:numPr>
              <w:tabs>
                <w:tab w:val="left" w:pos="321"/>
              </w:tabs>
              <w:ind w:left="179" w:hanging="17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自主學</w:t>
            </w:r>
            <w:r w:rsidRPr="00EE6CAE">
              <w:rPr>
                <w:rFonts w:ascii="Times New Roman" w:eastAsia="標楷體" w:hAnsi="Times New Roman" w:hint="eastAsia"/>
                <w:bCs/>
                <w:szCs w:val="24"/>
              </w:rPr>
              <w:t>習課程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14D49">
              <w:rPr>
                <w:rFonts w:ascii="Times New Roman" w:eastAsia="標楷體" w:hAnsi="Times New Roman" w:hint="eastAsia"/>
                <w:bCs/>
                <w:dstrike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 xml:space="preserve"> </w:t>
            </w:r>
            <w:r w:rsidRPr="00617295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3</w:t>
            </w:r>
            <w:r w:rsidRPr="00617295">
              <w:rPr>
                <w:rFonts w:ascii="Times New Roman" w:eastAsia="標楷體" w:hAnsi="Times New Roman"/>
                <w:bCs/>
                <w:color w:val="FF0000"/>
                <w:szCs w:val="24"/>
              </w:rPr>
              <w:t>0</w:t>
            </w:r>
            <w:r w:rsidRPr="00CC4757">
              <w:rPr>
                <w:rFonts w:ascii="Times New Roman" w:eastAsia="標楷體" w:hAnsi="Times New Roman"/>
                <w:bCs/>
                <w:szCs w:val="24"/>
              </w:rPr>
              <w:t>學分</w:t>
            </w:r>
          </w:p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Cs w:val="24"/>
              </w:rPr>
              <w:t>（其中</w:t>
            </w:r>
            <w:r w:rsidRPr="00CC4757">
              <w:rPr>
                <w:rFonts w:ascii="Times New Roman" w:eastAsia="標楷體" w:hAnsi="Times New Roman"/>
                <w:bCs/>
                <w:szCs w:val="24"/>
              </w:rPr>
              <w:t>9</w:t>
            </w:r>
            <w:r w:rsidRPr="00CC4757">
              <w:rPr>
                <w:rFonts w:ascii="Times New Roman" w:eastAsia="標楷體" w:hAnsi="Times New Roman"/>
                <w:bCs/>
                <w:szCs w:val="24"/>
              </w:rPr>
              <w:t>學分可含全學期實習）</w:t>
            </w:r>
          </w:p>
        </w:tc>
      </w:tr>
      <w:tr w:rsidR="00496E04" w:rsidRPr="00CC4757" w:rsidTr="000A1612">
        <w:trPr>
          <w:trHeight w:val="498"/>
          <w:jc w:val="center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</w:rPr>
              <w:t>總</w:t>
            </w:r>
            <w:r w:rsidRPr="00CC4757">
              <w:rPr>
                <w:rFonts w:ascii="Times New Roman" w:eastAsia="標楷體" w:hAnsi="Times New Roman"/>
                <w:bCs/>
              </w:rPr>
              <w:t xml:space="preserve">      </w:t>
            </w:r>
            <w:r w:rsidRPr="00CC4757">
              <w:rPr>
                <w:rFonts w:ascii="Times New Roman" w:eastAsia="標楷體" w:hAnsi="Times New Roman"/>
                <w:bCs/>
              </w:rPr>
              <w:t>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CC4757">
              <w:rPr>
                <w:rFonts w:ascii="Times New Roman" w:eastAsia="標楷體" w:hAnsi="Times New Roman"/>
                <w:bCs/>
              </w:rPr>
              <w:t>128</w:t>
            </w:r>
            <w:r w:rsidRPr="00CC4757">
              <w:rPr>
                <w:rFonts w:ascii="Times New Roman" w:eastAsia="標楷體" w:hAnsi="Times New Roman"/>
                <w:bCs/>
              </w:rPr>
              <w:t>學分</w:t>
            </w:r>
          </w:p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</w:rPr>
            </w:pPr>
            <w:r w:rsidRPr="00CC4757">
              <w:rPr>
                <w:rFonts w:ascii="Times New Roman" w:eastAsia="標楷體" w:hAnsi="Times New Roman"/>
                <w:bCs/>
                <w:sz w:val="20"/>
              </w:rPr>
              <w:t>不含師資培育課程</w:t>
            </w:r>
          </w:p>
          <w:p w:rsidR="00496E04" w:rsidRPr="00CC4757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C4757">
              <w:rPr>
                <w:rFonts w:ascii="Times New Roman" w:eastAsia="標楷體" w:hAnsi="Times New Roman"/>
                <w:bCs/>
                <w:sz w:val="20"/>
              </w:rPr>
              <w:t>（如選讀師資培育課程依相關規定辦理）</w:t>
            </w:r>
          </w:p>
        </w:tc>
      </w:tr>
    </w:tbl>
    <w:p w:rsidR="00496E04" w:rsidRPr="00CC4757" w:rsidRDefault="00496E04" w:rsidP="00496E04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496E04" w:rsidRPr="00CC4757" w:rsidRDefault="00496E04" w:rsidP="00496E04">
      <w:pPr>
        <w:spacing w:beforeLines="50" w:before="180"/>
        <w:ind w:leftChars="-97" w:left="-233" w:firstLineChars="100" w:firstLine="240"/>
        <w:jc w:val="both"/>
        <w:rPr>
          <w:rFonts w:ascii="Times New Roman" w:eastAsia="標楷體" w:hAnsi="Times New Roman"/>
          <w:b/>
          <w:bCs/>
          <w:szCs w:val="24"/>
        </w:rPr>
      </w:pPr>
      <w:r w:rsidRPr="00CC4757">
        <w:rPr>
          <w:rFonts w:ascii="Times New Roman" w:eastAsia="標楷體" w:hAnsi="Times New Roman"/>
          <w:b/>
          <w:bCs/>
          <w:szCs w:val="24"/>
        </w:rPr>
        <w:t>參、全校不分系共同課程</w:t>
      </w:r>
    </w:p>
    <w:tbl>
      <w:tblPr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40"/>
        <w:gridCol w:w="2580"/>
        <w:gridCol w:w="1559"/>
        <w:gridCol w:w="378"/>
        <w:gridCol w:w="425"/>
        <w:gridCol w:w="425"/>
        <w:gridCol w:w="851"/>
        <w:gridCol w:w="1930"/>
        <w:gridCol w:w="1661"/>
      </w:tblGrid>
      <w:tr w:rsidR="00496E04" w:rsidRPr="00617295" w:rsidTr="000A1612">
        <w:trPr>
          <w:tblHeader/>
          <w:jc w:val="center"/>
        </w:trPr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類</w:t>
            </w:r>
          </w:p>
          <w:p w:rsidR="00496E04" w:rsidRPr="00617295" w:rsidRDefault="00496E04" w:rsidP="000A161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別</w:t>
            </w: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ind w:leftChars="-52" w:left="-125" w:rightChars="-33" w:right="-79" w:firstLineChars="12" w:firstLine="29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學分數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科目中文名稱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科目代碼</w:t>
            </w:r>
          </w:p>
        </w:tc>
        <w:tc>
          <w:tcPr>
            <w:tcW w:w="378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ind w:leftChars="-43" w:left="-65" w:rightChars="-26" w:right="-62" w:hangingChars="16" w:hanging="38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必選修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學分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時數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開課學期</w:t>
            </w:r>
          </w:p>
        </w:tc>
        <w:tc>
          <w:tcPr>
            <w:tcW w:w="1930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ind w:leftChars="-12" w:hangingChars="12" w:hanging="29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科目英文名稱</w:t>
            </w:r>
          </w:p>
        </w:tc>
        <w:tc>
          <w:tcPr>
            <w:tcW w:w="166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617295">
              <w:rPr>
                <w:rFonts w:ascii="Times New Roman" w:eastAsia="標楷體" w:hAnsi="Times New Roman"/>
                <w:b/>
              </w:rPr>
              <w:t>全校不分系共同課程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必修</w:t>
            </w:r>
            <w:r w:rsidRPr="00617295">
              <w:rPr>
                <w:rFonts w:ascii="Times New Roman" w:eastAsia="標楷體" w:hAnsi="Times New Roman" w:hint="eastAsia"/>
                <w:b/>
              </w:rPr>
              <w:t>20</w:t>
            </w:r>
            <w:r w:rsidRPr="00617295">
              <w:rPr>
                <w:rFonts w:ascii="Times New Roman" w:eastAsia="標楷體" w:hAnsi="Times New Roman"/>
                <w:b/>
              </w:rPr>
              <w:t>學</w:t>
            </w:r>
          </w:p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分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永續發展導論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IPB11D00A001</w:t>
            </w:r>
          </w:p>
        </w:tc>
        <w:tc>
          <w:tcPr>
            <w:tcW w:w="378" w:type="dxa"/>
            <w:tcBorders>
              <w:top w:val="single" w:sz="18" w:space="0" w:color="auto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一上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Introduction to Sustainable Development</w:t>
            </w:r>
          </w:p>
        </w:tc>
        <w:tc>
          <w:tcPr>
            <w:tcW w:w="1661" w:type="dxa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pacing w:line="0" w:lineRule="atLeast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綠色知識經濟導論</w:t>
            </w:r>
          </w:p>
        </w:tc>
        <w:tc>
          <w:tcPr>
            <w:tcW w:w="1559" w:type="dxa"/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IPB11D00A002</w:t>
            </w:r>
          </w:p>
        </w:tc>
        <w:tc>
          <w:tcPr>
            <w:tcW w:w="378" w:type="dxa"/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一下</w:t>
            </w:r>
          </w:p>
        </w:tc>
        <w:tc>
          <w:tcPr>
            <w:tcW w:w="1930" w:type="dxa"/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Introduction to Green Knowledge Economy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pacing w:line="0" w:lineRule="atLeast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氣候變遷與環境衝擊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IPB11D00A003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一上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Climate Change and Environmental Impact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pacing w:line="0" w:lineRule="atLeast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人類文明與傳承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IPB11D00A004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一下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Human Civilization and Legacy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pacing w:line="0" w:lineRule="atLeast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專長學習討論與輔導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一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IPB11D00A005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Seminar and Constultation (I)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專長學習討論與輔導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二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IPB11D00A006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一下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Seminar and Constultation (II)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專長學習討論與輔導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三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IPB11D00A007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二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Seminar and Constultation (III)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專長學習討論與輔導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四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IPB11D00A008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二下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Seminar and Constultation (IV)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510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專題研究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一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IPB11D00A009</w:t>
            </w:r>
          </w:p>
        </w:tc>
        <w:tc>
          <w:tcPr>
            <w:tcW w:w="378" w:type="dxa"/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三上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Special Topics (I)</w:t>
            </w:r>
          </w:p>
        </w:tc>
        <w:tc>
          <w:tcPr>
            <w:tcW w:w="1661" w:type="dxa"/>
            <w:vMerge w:val="restart"/>
            <w:tcBorders>
              <w:righ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  <w:szCs w:val="24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  <w:szCs w:val="24"/>
              </w:rPr>
              <w:t>綠色生產</w:t>
            </w:r>
          </w:p>
          <w:p w:rsidR="00496E04" w:rsidRPr="00617295" w:rsidRDefault="00496E04" w:rsidP="000A1612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  <w:szCs w:val="24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  <w:szCs w:val="24"/>
              </w:rPr>
              <w:t>永續發展</w:t>
            </w:r>
          </w:p>
          <w:p w:rsidR="00496E04" w:rsidRPr="00617295" w:rsidRDefault="00496E04" w:rsidP="000A1612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  <w:szCs w:val="24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  <w:szCs w:val="24"/>
              </w:rPr>
              <w:t>氣候變遷</w:t>
            </w:r>
          </w:p>
          <w:p w:rsidR="00496E04" w:rsidRPr="00617295" w:rsidRDefault="00496E04" w:rsidP="000A1612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  <w:szCs w:val="24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  <w:szCs w:val="24"/>
              </w:rPr>
              <w:t>綠色能源</w:t>
            </w:r>
          </w:p>
        </w:tc>
      </w:tr>
      <w:tr w:rsidR="00496E04" w:rsidRPr="00617295" w:rsidTr="000A1612">
        <w:trPr>
          <w:trHeight w:val="510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專題研究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二</w:t>
            </w:r>
            <w:r w:rsidRPr="00617295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IPB11D00A010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三下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Special Topics (II)</w:t>
            </w:r>
          </w:p>
        </w:tc>
        <w:tc>
          <w:tcPr>
            <w:tcW w:w="1661" w:type="dxa"/>
            <w:vMerge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 w:val="restart"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617295">
              <w:rPr>
                <w:rFonts w:ascii="Times New Roman" w:eastAsia="標楷體" w:hAnsi="Times New Roman"/>
                <w:b/>
              </w:rPr>
              <w:t>選修</w:t>
            </w:r>
            <w:r w:rsidRPr="00617295">
              <w:rPr>
                <w:rFonts w:ascii="Times New Roman" w:eastAsia="標楷體" w:hAnsi="Times New Roman" w:hint="eastAsia"/>
                <w:b/>
              </w:rPr>
              <w:t>10</w:t>
            </w:r>
            <w:r w:rsidRPr="00617295">
              <w:rPr>
                <w:rFonts w:ascii="Times New Roman" w:eastAsia="標楷體" w:hAnsi="Times New Roman"/>
                <w:b/>
              </w:rPr>
              <w:t>學分</w:t>
            </w: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飲食文化與永續發展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/>
                <w:sz w:val="20"/>
              </w:rPr>
              <w:t>一</w:t>
            </w:r>
            <w:r w:rsidRPr="00617295">
              <w:rPr>
                <w:rFonts w:ascii="Times New Roman" w:eastAsia="標楷體" w:hAnsi="Times New Roman" w:hint="eastAsia"/>
                <w:sz w:val="20"/>
              </w:rPr>
              <w:t>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Food Culture and Sustainable Development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  <w:vAlign w:val="center"/>
          </w:tcPr>
          <w:p w:rsidR="00496E04" w:rsidRPr="00617295" w:rsidRDefault="00496E04" w:rsidP="000A1612">
            <w:pPr>
              <w:spacing w:line="0" w:lineRule="atLeast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都市治理與環境永續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19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</w:rPr>
              <w:t>一下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Urban Governance and Sustainable Environment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現代科技與永續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</w:rPr>
              <w:t>一下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Modern Technology and Sustainability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71F90" w:rsidRDefault="00496E04" w:rsidP="000A1612">
            <w:pPr>
              <w:snapToGrid w:val="0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671F90">
              <w:rPr>
                <w:rFonts w:ascii="Times New Roman" w:eastAsia="標楷體" w:hAnsi="Times New Roman" w:hint="eastAsia"/>
                <w:color w:val="FF0000"/>
                <w:sz w:val="22"/>
              </w:rPr>
              <w:t>都市設計概論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71F90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671F9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IPB12D00A0</w:t>
            </w:r>
            <w:r w:rsidRPr="00671F9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71F90" w:rsidRDefault="00496E04" w:rsidP="000A1612">
            <w:pPr>
              <w:snapToGrid w:val="0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671F90">
              <w:rPr>
                <w:rFonts w:ascii="Times New Roman" w:eastAsia="標楷體" w:hAnsi="Times New Roman"/>
                <w:color w:val="FF000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71F90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671F90">
              <w:rPr>
                <w:rFonts w:ascii="Times New Roman" w:eastAsia="標楷體" w:hAnsi="Times New Roman" w:hint="eastAsia"/>
                <w:color w:val="FF0000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71F90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671F90">
              <w:rPr>
                <w:rFonts w:ascii="Times New Roman" w:eastAsia="標楷體" w:hAnsi="Times New Roman" w:hint="eastAsia"/>
                <w:color w:val="FF0000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71F90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671F90">
              <w:rPr>
                <w:rFonts w:ascii="Times New Roman" w:eastAsia="標楷體" w:hAnsi="Times New Roman" w:hint="eastAsia"/>
                <w:color w:val="FF0000"/>
                <w:sz w:val="20"/>
              </w:rPr>
              <w:t>一下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71F90" w:rsidRDefault="00496E04" w:rsidP="000A1612">
            <w:pPr>
              <w:snapToGrid w:val="0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671F9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I</w:t>
            </w:r>
            <w:r w:rsidRPr="00671F9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ntroductions To Urban Design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生態永續與創新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21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/>
                <w:sz w:val="20"/>
              </w:rPr>
              <w:t>一上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Sustainable Ecology and Innovation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低碳永續與智慧城市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13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</w:rPr>
              <w:t>一上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Low-Carbon and Smart City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跨域多元敘事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14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</w:rPr>
              <w:t>一上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 xml:space="preserve">Interdisciplinary and Multicultural Narration 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環境規劃與設計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22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/>
                <w:sz w:val="20"/>
              </w:rPr>
              <w:t>二上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Environmental Planning and Design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綠色能源與轉型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</w:rPr>
              <w:t>二上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Green Energy and Energy Transition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防災與環境永續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16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</w:rPr>
              <w:t>二上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Disaster Prevention and Sustainable Environment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碳權與碳足跡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17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 w:hint="eastAsia"/>
                <w:sz w:val="20"/>
              </w:rPr>
              <w:t>二下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Carbon Rights and Carbon Footprints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  <w:tr w:rsidR="00496E04" w:rsidRPr="00617295" w:rsidTr="000A1612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  <w:bottom w:val="single" w:sz="18" w:space="0" w:color="auto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617295">
              <w:rPr>
                <w:rFonts w:ascii="Times New Roman" w:eastAsia="標楷體" w:hAnsi="Times New Roman"/>
                <w:bCs/>
                <w:sz w:val="22"/>
              </w:rPr>
              <w:t>全球氣候變遷治理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eastAsia="標楷體" w:hAnsi="Times New Roman"/>
                <w:sz w:val="20"/>
                <w:szCs w:val="20"/>
              </w:rPr>
              <w:t>IPB12D00A0</w:t>
            </w:r>
            <w:r w:rsidRPr="00617295">
              <w:rPr>
                <w:rFonts w:ascii="Times New Roman" w:eastAsia="標楷體" w:hAnsi="Times New Roman" w:hint="eastAsia"/>
                <w:sz w:val="20"/>
                <w:szCs w:val="20"/>
              </w:rPr>
              <w:t>18</w:t>
            </w:r>
          </w:p>
        </w:tc>
        <w:tc>
          <w:tcPr>
            <w:tcW w:w="378" w:type="dxa"/>
            <w:tcBorders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jc w:val="center"/>
              <w:rPr>
                <w:rFonts w:ascii="Times New Roman" w:hAnsi="Times New Roman"/>
              </w:rPr>
            </w:pPr>
            <w:r w:rsidRPr="00617295">
              <w:rPr>
                <w:rFonts w:ascii="Times New Roman" w:eastAsia="標楷體" w:hAnsi="Times New Roman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17295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617295">
              <w:rPr>
                <w:rFonts w:ascii="Times New Roman" w:eastAsia="標楷體" w:hAnsi="Times New Roman"/>
                <w:sz w:val="20"/>
              </w:rPr>
              <w:t>二下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:rsidR="00496E04" w:rsidRPr="00617295" w:rsidRDefault="00496E04" w:rsidP="000A161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172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Global Climate Change </w:t>
            </w:r>
          </w:p>
        </w:tc>
        <w:tc>
          <w:tcPr>
            <w:tcW w:w="1661" w:type="dxa"/>
            <w:tcBorders>
              <w:bottom w:val="single" w:sz="18" w:space="0" w:color="auto"/>
              <w:right w:val="single" w:sz="18" w:space="0" w:color="000000"/>
            </w:tcBorders>
          </w:tcPr>
          <w:p w:rsidR="00496E04" w:rsidRPr="00617295" w:rsidRDefault="00496E04" w:rsidP="000A1612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</w:tbl>
    <w:p w:rsidR="00496E04" w:rsidRPr="00617295" w:rsidRDefault="00496E04" w:rsidP="00496E04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496E04" w:rsidRPr="00617295" w:rsidRDefault="00496E04" w:rsidP="00496E04">
      <w:pPr>
        <w:jc w:val="both"/>
        <w:rPr>
          <w:rFonts w:ascii="Times New Roman" w:eastAsia="標楷體" w:hAnsi="Times New Roman"/>
          <w:sz w:val="22"/>
        </w:rPr>
      </w:pPr>
      <w:r w:rsidRPr="00617295">
        <w:rPr>
          <w:rFonts w:ascii="Times New Roman" w:eastAsia="標楷體" w:hAnsi="Times New Roman"/>
          <w:b/>
          <w:bCs/>
          <w:sz w:val="28"/>
          <w:szCs w:val="28"/>
        </w:rPr>
        <w:lastRenderedPageBreak/>
        <w:t>肆、修課須知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kern w:val="0"/>
          <w:szCs w:val="24"/>
        </w:rPr>
      </w:pPr>
      <w:r w:rsidRPr="00617295">
        <w:rPr>
          <w:rFonts w:ascii="Times New Roman" w:eastAsia="標楷體" w:hAnsi="Times New Roman"/>
          <w:kern w:val="0"/>
          <w:szCs w:val="24"/>
        </w:rPr>
        <w:t>本學程畢業總學分為</w:t>
      </w:r>
      <w:r w:rsidRPr="00617295">
        <w:rPr>
          <w:rFonts w:ascii="Times New Roman" w:eastAsia="標楷體" w:hAnsi="Times New Roman"/>
          <w:kern w:val="0"/>
          <w:szCs w:val="24"/>
        </w:rPr>
        <w:t>128</w:t>
      </w:r>
      <w:r w:rsidRPr="00617295">
        <w:rPr>
          <w:rFonts w:ascii="Times New Roman" w:eastAsia="標楷體" w:hAnsi="Times New Roman"/>
          <w:kern w:val="0"/>
          <w:szCs w:val="24"/>
        </w:rPr>
        <w:t>學分，學生應修習通識教育課程</w:t>
      </w:r>
      <w:r w:rsidRPr="00617295">
        <w:rPr>
          <w:rFonts w:ascii="Times New Roman" w:eastAsia="標楷體" w:hAnsi="Times New Roman"/>
          <w:kern w:val="0"/>
          <w:szCs w:val="24"/>
        </w:rPr>
        <w:t>28</w:t>
      </w:r>
      <w:r w:rsidRPr="00617295">
        <w:rPr>
          <w:rFonts w:ascii="Times New Roman" w:eastAsia="標楷體" w:hAnsi="Times New Roman"/>
          <w:kern w:val="0"/>
          <w:szCs w:val="24"/>
        </w:rPr>
        <w:t>學分、不分系共同課程至少</w:t>
      </w:r>
      <w:r w:rsidRPr="00617295">
        <w:rPr>
          <w:rFonts w:ascii="Times New Roman" w:eastAsia="標楷體" w:hAnsi="Times New Roman"/>
          <w:kern w:val="0"/>
          <w:szCs w:val="24"/>
        </w:rPr>
        <w:t>30</w:t>
      </w:r>
      <w:r w:rsidRPr="00617295">
        <w:rPr>
          <w:rFonts w:ascii="Times New Roman" w:eastAsia="標楷體" w:hAnsi="Times New Roman"/>
          <w:kern w:val="0"/>
          <w:szCs w:val="24"/>
        </w:rPr>
        <w:t>學分，</w:t>
      </w:r>
      <w:r w:rsidRPr="00994468">
        <w:rPr>
          <w:rFonts w:ascii="Times New Roman" w:eastAsia="標楷體" w:hAnsi="Times New Roman" w:hint="eastAsia"/>
          <w:kern w:val="0"/>
          <w:szCs w:val="24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專長課程至少</w:t>
      </w:r>
      <w:r w:rsidRPr="004D15D3">
        <w:rPr>
          <w:rFonts w:ascii="Times New Roman" w:eastAsia="標楷體" w:hAnsi="Times New Roman" w:hint="eastAsia"/>
          <w:dstrike/>
          <w:color w:val="FF0000"/>
          <w:kern w:val="0"/>
          <w:szCs w:val="24"/>
        </w:rPr>
        <w:t>50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4D15D3">
        <w:rPr>
          <w:rFonts w:ascii="Times New Roman" w:eastAsia="標楷體" w:hAnsi="Times New Roman" w:hint="eastAsia"/>
          <w:color w:val="FF0000"/>
          <w:kern w:val="0"/>
          <w:szCs w:val="24"/>
        </w:rPr>
        <w:t>4</w:t>
      </w:r>
      <w:r w:rsidRPr="004D15D3">
        <w:rPr>
          <w:rFonts w:ascii="Times New Roman" w:eastAsia="標楷體" w:hAnsi="Times New Roman"/>
          <w:color w:val="FF0000"/>
          <w:kern w:val="0"/>
          <w:szCs w:val="24"/>
        </w:rPr>
        <w:t>0</w:t>
      </w:r>
      <w:r w:rsidRPr="00617295">
        <w:rPr>
          <w:rFonts w:ascii="Times New Roman" w:eastAsia="標楷體" w:hAnsi="Times New Roman"/>
          <w:kern w:val="0"/>
          <w:szCs w:val="24"/>
        </w:rPr>
        <w:t>學分及自由選修至少</w:t>
      </w:r>
      <w:r w:rsidRPr="004D15D3">
        <w:rPr>
          <w:rFonts w:ascii="Times New Roman" w:eastAsia="標楷體" w:hAnsi="Times New Roman" w:hint="eastAsia"/>
          <w:dstrike/>
          <w:color w:val="FF0000"/>
          <w:kern w:val="0"/>
          <w:szCs w:val="24"/>
        </w:rPr>
        <w:t>20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4D15D3">
        <w:rPr>
          <w:rFonts w:ascii="Times New Roman" w:eastAsia="標楷體" w:hAnsi="Times New Roman" w:hint="eastAsia"/>
          <w:color w:val="FF0000"/>
          <w:kern w:val="0"/>
          <w:szCs w:val="24"/>
        </w:rPr>
        <w:t>3</w:t>
      </w:r>
      <w:r w:rsidRPr="004D15D3">
        <w:rPr>
          <w:rFonts w:ascii="Times New Roman" w:eastAsia="標楷體" w:hAnsi="Times New Roman"/>
          <w:color w:val="FF0000"/>
          <w:kern w:val="0"/>
          <w:szCs w:val="24"/>
        </w:rPr>
        <w:t>0</w:t>
      </w:r>
      <w:r w:rsidRPr="00617295">
        <w:rPr>
          <w:rFonts w:ascii="Times New Roman" w:eastAsia="標楷體" w:hAnsi="Times New Roman"/>
          <w:kern w:val="0"/>
          <w:szCs w:val="24"/>
        </w:rPr>
        <w:t>學分。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kern w:val="0"/>
          <w:szCs w:val="24"/>
        </w:rPr>
      </w:pPr>
      <w:r w:rsidRPr="00617295">
        <w:rPr>
          <w:rFonts w:ascii="Times New Roman" w:eastAsia="標楷體" w:hAnsi="Times New Roman"/>
          <w:kern w:val="0"/>
          <w:szCs w:val="24"/>
        </w:rPr>
        <w:t>本學程學生須修讀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專長課程至少</w:t>
      </w:r>
      <w:r w:rsidRPr="004D15D3">
        <w:rPr>
          <w:rFonts w:ascii="Times New Roman" w:eastAsia="標楷體" w:hAnsi="Times New Roman" w:hint="eastAsia"/>
          <w:dstrike/>
          <w:color w:val="FF0000"/>
          <w:kern w:val="0"/>
          <w:szCs w:val="24"/>
        </w:rPr>
        <w:t>50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617295">
        <w:rPr>
          <w:rFonts w:ascii="Times New Roman" w:eastAsia="標楷體" w:hAnsi="Times New Roman" w:hint="eastAsia"/>
          <w:color w:val="FF0000"/>
          <w:kern w:val="0"/>
          <w:szCs w:val="24"/>
        </w:rPr>
        <w:t>40</w:t>
      </w:r>
      <w:r w:rsidRPr="00617295">
        <w:rPr>
          <w:rFonts w:ascii="Times New Roman" w:eastAsia="標楷體" w:hAnsi="Times New Roman"/>
          <w:kern w:val="0"/>
          <w:szCs w:val="24"/>
        </w:rPr>
        <w:t>學分，須以各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基礎及核心模組必修課程為主，若該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基礎及核心模組必修課程不足</w:t>
      </w:r>
      <w:r w:rsidRPr="004D15D3">
        <w:rPr>
          <w:rFonts w:ascii="Times New Roman" w:eastAsia="標楷體" w:hAnsi="Times New Roman" w:hint="eastAsia"/>
          <w:dstrike/>
          <w:color w:val="FF0000"/>
          <w:kern w:val="0"/>
          <w:szCs w:val="24"/>
        </w:rPr>
        <w:t>50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617295">
        <w:rPr>
          <w:rFonts w:ascii="Times New Roman" w:eastAsia="標楷體" w:hAnsi="Times New Roman" w:hint="eastAsia"/>
          <w:color w:val="FF0000"/>
          <w:kern w:val="0"/>
          <w:szCs w:val="24"/>
        </w:rPr>
        <w:t>4</w:t>
      </w:r>
      <w:r w:rsidRPr="00617295">
        <w:rPr>
          <w:rFonts w:ascii="Times New Roman" w:eastAsia="標楷體" w:hAnsi="Times New Roman"/>
          <w:color w:val="FF0000"/>
          <w:kern w:val="0"/>
          <w:szCs w:val="24"/>
        </w:rPr>
        <w:t>0</w:t>
      </w:r>
      <w:r w:rsidRPr="00617295">
        <w:rPr>
          <w:rFonts w:ascii="Times New Roman" w:eastAsia="標楷體" w:hAnsi="Times New Roman"/>
          <w:kern w:val="0"/>
          <w:szCs w:val="24"/>
        </w:rPr>
        <w:t>學分，得以該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必修或選修課程補足。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kern w:val="0"/>
          <w:szCs w:val="24"/>
        </w:rPr>
      </w:pPr>
      <w:r w:rsidRPr="00617295">
        <w:rPr>
          <w:rFonts w:ascii="Times New Roman" w:eastAsia="標楷體" w:hAnsi="Times New Roman"/>
          <w:kern w:val="0"/>
          <w:szCs w:val="24"/>
        </w:rPr>
        <w:t>學生依規定修畢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專長課程至少</w:t>
      </w:r>
      <w:r w:rsidRPr="004D15D3">
        <w:rPr>
          <w:rFonts w:ascii="Times New Roman" w:eastAsia="標楷體" w:hAnsi="Times New Roman" w:hint="eastAsia"/>
          <w:dstrike/>
          <w:color w:val="FF0000"/>
          <w:kern w:val="0"/>
          <w:szCs w:val="24"/>
        </w:rPr>
        <w:t>50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617295">
        <w:rPr>
          <w:rFonts w:ascii="Times New Roman" w:eastAsia="標楷體" w:hAnsi="Times New Roman" w:hint="eastAsia"/>
          <w:color w:val="FF0000"/>
          <w:kern w:val="0"/>
          <w:szCs w:val="24"/>
        </w:rPr>
        <w:t>4</w:t>
      </w:r>
      <w:r w:rsidRPr="00617295">
        <w:rPr>
          <w:rFonts w:ascii="Times New Roman" w:eastAsia="標楷體" w:hAnsi="Times New Roman"/>
          <w:color w:val="FF0000"/>
          <w:kern w:val="0"/>
          <w:szCs w:val="24"/>
        </w:rPr>
        <w:t>0</w:t>
      </w:r>
      <w:r w:rsidRPr="00617295">
        <w:rPr>
          <w:rFonts w:ascii="Times New Roman" w:eastAsia="標楷體" w:hAnsi="Times New Roman"/>
          <w:kern w:val="0"/>
          <w:szCs w:val="24"/>
        </w:rPr>
        <w:t>學分，經審核通過後，於畢業證書註記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專長。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kern w:val="0"/>
          <w:szCs w:val="24"/>
        </w:rPr>
      </w:pPr>
      <w:r w:rsidRPr="00617295">
        <w:rPr>
          <w:rFonts w:ascii="Times New Roman" w:eastAsia="標楷體" w:hAnsi="Times New Roman"/>
          <w:kern w:val="0"/>
          <w:szCs w:val="24"/>
        </w:rPr>
        <w:t>本學程學生如四年級下學期參加校外實習（</w:t>
      </w:r>
      <w:r w:rsidRPr="00617295">
        <w:rPr>
          <w:rFonts w:ascii="Times New Roman" w:eastAsia="標楷體" w:hAnsi="Times New Roman"/>
          <w:kern w:val="0"/>
          <w:szCs w:val="24"/>
        </w:rPr>
        <w:t>9</w:t>
      </w:r>
      <w:r w:rsidRPr="00617295">
        <w:rPr>
          <w:rFonts w:ascii="Times New Roman" w:eastAsia="標楷體" w:hAnsi="Times New Roman"/>
          <w:kern w:val="0"/>
          <w:szCs w:val="24"/>
        </w:rPr>
        <w:t>學分）可併入自由選修學分計算。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kern w:val="0"/>
          <w:szCs w:val="24"/>
        </w:rPr>
      </w:pPr>
      <w:r w:rsidRPr="00617295">
        <w:rPr>
          <w:rFonts w:ascii="Times New Roman" w:eastAsia="標楷體" w:hAnsi="Times New Roman"/>
          <w:kern w:val="0"/>
          <w:szCs w:val="24"/>
        </w:rPr>
        <w:t>本學程學生應於一年級下學期（</w:t>
      </w:r>
      <w:r w:rsidRPr="00617295">
        <w:rPr>
          <w:rFonts w:ascii="Times New Roman" w:eastAsia="標楷體" w:hAnsi="Times New Roman"/>
          <w:kern w:val="0"/>
          <w:szCs w:val="24"/>
        </w:rPr>
        <w:t>3</w:t>
      </w:r>
      <w:r w:rsidRPr="00617295">
        <w:rPr>
          <w:rFonts w:ascii="Times New Roman" w:eastAsia="標楷體" w:hAnsi="Times New Roman"/>
          <w:kern w:val="0"/>
          <w:szCs w:val="24"/>
        </w:rPr>
        <w:t>月</w:t>
      </w:r>
      <w:r w:rsidRPr="00617295">
        <w:rPr>
          <w:rFonts w:ascii="Times New Roman" w:eastAsia="標楷體" w:hAnsi="Times New Roman"/>
          <w:kern w:val="0"/>
          <w:szCs w:val="24"/>
        </w:rPr>
        <w:t>31</w:t>
      </w:r>
      <w:r w:rsidRPr="00617295">
        <w:rPr>
          <w:rFonts w:ascii="Times New Roman" w:eastAsia="標楷體" w:hAnsi="Times New Roman"/>
          <w:kern w:val="0"/>
          <w:szCs w:val="24"/>
        </w:rPr>
        <w:t>日）前，向學程辦公室提出修讀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專長申請，並經由本學程導師、主任及所選專長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主任同意，由本學程辦公室統一彙整名單送教務處辦理。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kern w:val="0"/>
          <w:szCs w:val="24"/>
        </w:rPr>
      </w:pPr>
      <w:r w:rsidRPr="00617295">
        <w:rPr>
          <w:rFonts w:ascii="Times New Roman" w:eastAsia="標楷體" w:hAnsi="Times New Roman"/>
          <w:kern w:val="0"/>
          <w:szCs w:val="24"/>
        </w:rPr>
        <w:t>本學程學生須於二年級上學期修讀專長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課程，惟申請更換專長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者，應依教務處公告（修讀或放棄雙主修、輔系、專長學系）時程內提出申請，每人以一次為限。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kern w:val="0"/>
          <w:szCs w:val="24"/>
        </w:rPr>
      </w:pPr>
      <w:r w:rsidRPr="00617295">
        <w:rPr>
          <w:rFonts w:ascii="Times New Roman" w:eastAsia="標楷體" w:hAnsi="Times New Roman"/>
          <w:kern w:val="0"/>
          <w:szCs w:val="24"/>
        </w:rPr>
        <w:t>學生修業期滿且修讀完成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專長課程，即授予學生該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之學士學位。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kern w:val="0"/>
          <w:szCs w:val="24"/>
        </w:rPr>
      </w:pPr>
      <w:r w:rsidRPr="00617295">
        <w:rPr>
          <w:rFonts w:ascii="Times New Roman" w:eastAsia="標楷體" w:hAnsi="Times New Roman"/>
          <w:kern w:val="0"/>
          <w:szCs w:val="24"/>
        </w:rPr>
        <w:t>本學程學雜費收費標準，第一學年比照本校日間學士班文法學院收費標準，第二學年起依照所選專長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之收費標準；如申請加註第二項專長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，以專長</w:t>
      </w:r>
      <w:r w:rsidRPr="00617295">
        <w:rPr>
          <w:rFonts w:ascii="標楷體" w:eastAsia="標楷體" w:hAnsi="標楷體" w:hint="eastAsia"/>
        </w:rPr>
        <w:t>學系（其他學程、專班）</w:t>
      </w:r>
      <w:r w:rsidRPr="00617295">
        <w:rPr>
          <w:rFonts w:ascii="Times New Roman" w:eastAsia="標楷體" w:hAnsi="Times New Roman"/>
          <w:kern w:val="0"/>
          <w:szCs w:val="24"/>
        </w:rPr>
        <w:t>收費標準較高者收費。</w:t>
      </w:r>
    </w:p>
    <w:p w:rsidR="00496E04" w:rsidRPr="00617295" w:rsidRDefault="00496E04" w:rsidP="00496E04">
      <w:pPr>
        <w:numPr>
          <w:ilvl w:val="0"/>
          <w:numId w:val="5"/>
        </w:numPr>
        <w:ind w:left="993" w:hanging="643"/>
        <w:jc w:val="both"/>
        <w:rPr>
          <w:rFonts w:ascii="Times New Roman" w:eastAsia="標楷體" w:hAnsi="Times New Roman"/>
          <w:b/>
          <w:szCs w:val="24"/>
          <w:lang w:eastAsia="zh-HK"/>
        </w:rPr>
      </w:pPr>
      <w:r w:rsidRPr="00617295">
        <w:rPr>
          <w:rFonts w:ascii="Times New Roman" w:eastAsia="標楷體" w:hAnsi="Times New Roman"/>
          <w:kern w:val="0"/>
          <w:szCs w:val="24"/>
        </w:rPr>
        <w:t>本學程畢業總學分</w:t>
      </w:r>
      <w:r w:rsidRPr="00617295">
        <w:rPr>
          <w:rFonts w:ascii="Times New Roman" w:eastAsia="標楷體" w:hAnsi="Times New Roman"/>
          <w:kern w:val="0"/>
          <w:szCs w:val="24"/>
        </w:rPr>
        <w:t xml:space="preserve">128 </w:t>
      </w:r>
      <w:r w:rsidRPr="00617295">
        <w:rPr>
          <w:rFonts w:ascii="Times New Roman" w:eastAsia="標楷體" w:hAnsi="Times New Roman"/>
          <w:kern w:val="0"/>
          <w:szCs w:val="24"/>
        </w:rPr>
        <w:t>學分，不含師資培育課程，如選讀師資培育課程須依相關規定辦理。</w:t>
      </w:r>
    </w:p>
    <w:p w:rsidR="0033693B" w:rsidRPr="00496E04" w:rsidRDefault="00BA4AF6" w:rsidP="00496E04"/>
    <w:sectPr w:rsidR="0033693B" w:rsidRPr="00496E04" w:rsidSect="00F463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F6" w:rsidRDefault="00BA4AF6" w:rsidP="00535E16">
      <w:r>
        <w:separator/>
      </w:r>
    </w:p>
  </w:endnote>
  <w:endnote w:type="continuationSeparator" w:id="0">
    <w:p w:rsidR="00BA4AF6" w:rsidRDefault="00BA4AF6" w:rsidP="005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F6" w:rsidRDefault="00BA4AF6" w:rsidP="00535E16">
      <w:r>
        <w:separator/>
      </w:r>
    </w:p>
  </w:footnote>
  <w:footnote w:type="continuationSeparator" w:id="0">
    <w:p w:rsidR="00BA4AF6" w:rsidRDefault="00BA4AF6" w:rsidP="005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95E"/>
    <w:multiLevelType w:val="hybridMultilevel"/>
    <w:tmpl w:val="B2D04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53956"/>
    <w:multiLevelType w:val="hybridMultilevel"/>
    <w:tmpl w:val="8E42ECA0"/>
    <w:lvl w:ilvl="0" w:tplc="44409772">
      <w:start w:val="1"/>
      <w:numFmt w:val="taiwaneseCountingThousand"/>
      <w:lvlText w:val="%1、"/>
      <w:lvlJc w:val="left"/>
      <w:pPr>
        <w:ind w:left="169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E967C0"/>
    <w:multiLevelType w:val="hybridMultilevel"/>
    <w:tmpl w:val="76869536"/>
    <w:lvl w:ilvl="0" w:tplc="E4A2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7432F2"/>
    <w:multiLevelType w:val="hybridMultilevel"/>
    <w:tmpl w:val="D2CC8452"/>
    <w:lvl w:ilvl="0" w:tplc="D91EE5E8">
      <w:start w:val="1"/>
      <w:numFmt w:val="taiwaneseCountingThousand"/>
      <w:lvlText w:val="%1、"/>
      <w:lvlJc w:val="left"/>
      <w:pPr>
        <w:ind w:left="5442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15F2F"/>
    <w:multiLevelType w:val="hybridMultilevel"/>
    <w:tmpl w:val="D2CC8452"/>
    <w:lvl w:ilvl="0" w:tplc="D91EE5E8">
      <w:start w:val="1"/>
      <w:numFmt w:val="taiwaneseCountingThousand"/>
      <w:lvlText w:val="%1、"/>
      <w:lvlJc w:val="left"/>
      <w:pPr>
        <w:ind w:left="5442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C27ED"/>
    <w:multiLevelType w:val="hybridMultilevel"/>
    <w:tmpl w:val="B2D04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67"/>
    <w:rsid w:val="00035071"/>
    <w:rsid w:val="00086F5F"/>
    <w:rsid w:val="00127AF0"/>
    <w:rsid w:val="001353A9"/>
    <w:rsid w:val="001509C9"/>
    <w:rsid w:val="00185F46"/>
    <w:rsid w:val="00190795"/>
    <w:rsid w:val="001E37A3"/>
    <w:rsid w:val="00232A63"/>
    <w:rsid w:val="0026402E"/>
    <w:rsid w:val="0029195A"/>
    <w:rsid w:val="002D677E"/>
    <w:rsid w:val="003732DD"/>
    <w:rsid w:val="003C5678"/>
    <w:rsid w:val="0040335A"/>
    <w:rsid w:val="00413634"/>
    <w:rsid w:val="004164E9"/>
    <w:rsid w:val="00496E04"/>
    <w:rsid w:val="00535E16"/>
    <w:rsid w:val="005964CF"/>
    <w:rsid w:val="00636E6F"/>
    <w:rsid w:val="0071032A"/>
    <w:rsid w:val="007A35B5"/>
    <w:rsid w:val="007B07F8"/>
    <w:rsid w:val="007C1172"/>
    <w:rsid w:val="007C604F"/>
    <w:rsid w:val="007E76D4"/>
    <w:rsid w:val="00811DF9"/>
    <w:rsid w:val="008235FA"/>
    <w:rsid w:val="008478D4"/>
    <w:rsid w:val="008D54C2"/>
    <w:rsid w:val="00900B4E"/>
    <w:rsid w:val="009400D2"/>
    <w:rsid w:val="009D6E2D"/>
    <w:rsid w:val="00A076EF"/>
    <w:rsid w:val="00AE20B0"/>
    <w:rsid w:val="00B809A1"/>
    <w:rsid w:val="00B91720"/>
    <w:rsid w:val="00B96206"/>
    <w:rsid w:val="00BA4AF6"/>
    <w:rsid w:val="00BB61AC"/>
    <w:rsid w:val="00BE239B"/>
    <w:rsid w:val="00C04B85"/>
    <w:rsid w:val="00C22F8B"/>
    <w:rsid w:val="00C676FD"/>
    <w:rsid w:val="00CF4A30"/>
    <w:rsid w:val="00D22003"/>
    <w:rsid w:val="00D26B70"/>
    <w:rsid w:val="00D43D2B"/>
    <w:rsid w:val="00ED5953"/>
    <w:rsid w:val="00F46367"/>
    <w:rsid w:val="00F81E43"/>
    <w:rsid w:val="00F95C1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3EF52-7210-4358-A03E-BD7F625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E1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E1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7</cp:revision>
  <cp:lastPrinted>2024-05-06T05:53:00Z</cp:lastPrinted>
  <dcterms:created xsi:type="dcterms:W3CDTF">2024-05-23T01:37:00Z</dcterms:created>
  <dcterms:modified xsi:type="dcterms:W3CDTF">2025-05-28T03:41:00Z</dcterms:modified>
</cp:coreProperties>
</file>