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7C" w:rsidRPr="006F4427" w:rsidRDefault="00700F80" w:rsidP="00D2714C">
      <w:pPr>
        <w:snapToGrid w:val="0"/>
        <w:jc w:val="center"/>
        <w:rPr>
          <w:rFonts w:ascii="Times New Roman" w:eastAsia="標楷體" w:hAnsi="Times New Roman" w:cs="Times New Roman"/>
          <w:b/>
          <w:bCs/>
          <w:color w:val="000000" w:themeColor="text1"/>
          <w:sz w:val="36"/>
          <w:szCs w:val="36"/>
        </w:rPr>
      </w:pPr>
      <w:r>
        <w:rPr>
          <w:rFonts w:ascii="Times New Roman" w:eastAsia="標楷體" w:hAnsi="Times New Roman" w:cs="Times New Roman" w:hint="eastAsia"/>
          <w:b/>
          <w:bCs/>
          <w:color w:val="000000" w:themeColor="text1"/>
          <w:sz w:val="36"/>
          <w:szCs w:val="36"/>
        </w:rPr>
        <w:t xml:space="preserve"> </w:t>
      </w:r>
      <w:r w:rsidR="00282D7C" w:rsidRPr="006F4427">
        <w:rPr>
          <w:rFonts w:ascii="Times New Roman" w:eastAsia="標楷體" w:hAnsi="Times New Roman" w:cs="Times New Roman"/>
          <w:b/>
          <w:bCs/>
          <w:color w:val="000000" w:themeColor="text1"/>
          <w:sz w:val="36"/>
          <w:szCs w:val="36"/>
        </w:rPr>
        <w:t>國立臺東大學</w:t>
      </w:r>
      <w:r w:rsidR="00282D7C" w:rsidRPr="006F4427">
        <w:rPr>
          <w:rFonts w:ascii="Times New Roman" w:eastAsia="標楷體" w:hAnsi="Times New Roman" w:cs="Times New Roman"/>
          <w:b/>
          <w:bCs/>
          <w:color w:val="000000" w:themeColor="text1"/>
          <w:sz w:val="36"/>
          <w:szCs w:val="36"/>
        </w:rPr>
        <w:t xml:space="preserve">  </w:t>
      </w:r>
      <w:r w:rsidR="00340B66">
        <w:rPr>
          <w:rFonts w:ascii="Times New Roman" w:eastAsia="標楷體" w:hAnsi="Times New Roman" w:cs="Times New Roman" w:hint="eastAsia"/>
          <w:b/>
          <w:bCs/>
          <w:color w:val="000000" w:themeColor="text1"/>
          <w:sz w:val="36"/>
          <w:szCs w:val="36"/>
        </w:rPr>
        <w:t>1</w:t>
      </w:r>
      <w:r w:rsidR="00340B66">
        <w:rPr>
          <w:rFonts w:ascii="Times New Roman" w:eastAsia="標楷體" w:hAnsi="Times New Roman" w:cs="Times New Roman"/>
          <w:b/>
          <w:bCs/>
          <w:color w:val="000000" w:themeColor="text1"/>
          <w:sz w:val="36"/>
          <w:szCs w:val="36"/>
        </w:rPr>
        <w:t>13</w:t>
      </w:r>
      <w:r w:rsidR="00282D7C" w:rsidRPr="006F4427">
        <w:rPr>
          <w:rFonts w:ascii="Times New Roman" w:eastAsia="標楷體" w:hAnsi="Times New Roman" w:cs="Times New Roman"/>
          <w:b/>
          <w:bCs/>
          <w:color w:val="000000" w:themeColor="text1"/>
          <w:sz w:val="36"/>
          <w:szCs w:val="36"/>
        </w:rPr>
        <w:t>學年度</w:t>
      </w:r>
      <w:r w:rsidR="00282D7C" w:rsidRPr="006F4427">
        <w:rPr>
          <w:rFonts w:ascii="Times New Roman" w:eastAsia="標楷體" w:hAnsi="Times New Roman" w:cs="Times New Roman"/>
          <w:b/>
          <w:bCs/>
          <w:color w:val="000000" w:themeColor="text1"/>
          <w:sz w:val="36"/>
          <w:szCs w:val="36"/>
        </w:rPr>
        <w:t xml:space="preserve">  </w:t>
      </w:r>
      <w:r w:rsidR="00282D7C" w:rsidRPr="006F4427">
        <w:rPr>
          <w:rFonts w:ascii="Times New Roman" w:eastAsia="標楷體" w:hAnsi="Times New Roman" w:cs="Times New Roman"/>
          <w:b/>
          <w:bCs/>
          <w:color w:val="000000" w:themeColor="text1"/>
          <w:sz w:val="36"/>
          <w:szCs w:val="36"/>
        </w:rPr>
        <w:t>課程綱要</w:t>
      </w:r>
    </w:p>
    <w:p w:rsidR="00282D7C" w:rsidRPr="006F4427" w:rsidRDefault="00282D7C" w:rsidP="00D2714C">
      <w:pPr>
        <w:snapToGrid w:val="0"/>
        <w:spacing w:beforeLines="50" w:before="180" w:afterLines="100" w:after="360"/>
        <w:jc w:val="center"/>
        <w:rPr>
          <w:rFonts w:ascii="Times New Roman" w:eastAsia="標楷體" w:hAnsi="Times New Roman" w:cs="Times New Roman"/>
          <w:b/>
          <w:bCs/>
          <w:color w:val="000000" w:themeColor="text1"/>
          <w:sz w:val="36"/>
          <w:szCs w:val="36"/>
        </w:rPr>
      </w:pPr>
      <w:r w:rsidRPr="006F4427">
        <w:rPr>
          <w:rFonts w:ascii="Times New Roman" w:eastAsia="標楷體" w:hAnsi="Times New Roman" w:cs="Times New Roman"/>
          <w:b/>
          <w:bCs/>
          <w:color w:val="000000" w:themeColor="text1"/>
          <w:sz w:val="36"/>
          <w:szCs w:val="36"/>
        </w:rPr>
        <w:t>理工學院</w:t>
      </w:r>
      <w:r w:rsidRPr="006F4427">
        <w:rPr>
          <w:rFonts w:ascii="Times New Roman" w:eastAsia="標楷體" w:hAnsi="Times New Roman" w:cs="Times New Roman"/>
          <w:b/>
          <w:bCs/>
          <w:color w:val="000000" w:themeColor="text1"/>
          <w:sz w:val="36"/>
          <w:szCs w:val="36"/>
        </w:rPr>
        <w:t xml:space="preserve">  </w:t>
      </w:r>
      <w:r w:rsidRPr="006F4427">
        <w:rPr>
          <w:rFonts w:ascii="Times New Roman" w:eastAsia="標楷體" w:hAnsi="Times New Roman" w:cs="Times New Roman"/>
          <w:b/>
          <w:bCs/>
          <w:color w:val="000000" w:themeColor="text1"/>
          <w:sz w:val="36"/>
          <w:szCs w:val="36"/>
        </w:rPr>
        <w:t>應用科學系</w:t>
      </w:r>
      <w:r w:rsidRPr="006F4427">
        <w:rPr>
          <w:rFonts w:ascii="Times New Roman" w:eastAsia="標楷體" w:hAnsi="Times New Roman" w:cs="Times New Roman"/>
          <w:b/>
          <w:bCs/>
          <w:color w:val="000000" w:themeColor="text1"/>
          <w:sz w:val="36"/>
          <w:szCs w:val="36"/>
        </w:rPr>
        <w:t xml:space="preserve"> </w:t>
      </w:r>
      <w:r w:rsidRPr="006F4427">
        <w:rPr>
          <w:rFonts w:ascii="Times New Roman" w:eastAsia="標楷體" w:hAnsi="Times New Roman" w:cs="Times New Roman"/>
          <w:b/>
          <w:bCs/>
          <w:color w:val="000000" w:themeColor="text1"/>
          <w:sz w:val="36"/>
          <w:szCs w:val="36"/>
        </w:rPr>
        <w:t>碩士班課程</w:t>
      </w:r>
    </w:p>
    <w:p w:rsidR="00D2714C" w:rsidRDefault="00340B66" w:rsidP="00BE7AEE">
      <w:pPr>
        <w:snapToGrid w:val="0"/>
        <w:jc w:val="right"/>
        <w:rPr>
          <w:rFonts w:ascii="Times New Roman" w:eastAsia="標楷體" w:hAnsi="Times New Roman" w:cs="Times New Roman"/>
          <w:sz w:val="20"/>
          <w:szCs w:val="20"/>
        </w:rPr>
      </w:pPr>
      <w:r>
        <w:rPr>
          <w:rFonts w:ascii="Times New Roman" w:eastAsia="標楷體" w:hAnsi="Times New Roman" w:cs="Times New Roman" w:hint="eastAsia"/>
          <w:sz w:val="20"/>
          <w:szCs w:val="20"/>
        </w:rPr>
        <w:t>11</w:t>
      </w:r>
      <w:r>
        <w:rPr>
          <w:rFonts w:ascii="Times New Roman" w:eastAsia="標楷體" w:hAnsi="Times New Roman" w:cs="Times New Roman"/>
          <w:sz w:val="20"/>
          <w:szCs w:val="20"/>
        </w:rPr>
        <w:t>2</w:t>
      </w:r>
      <w:r w:rsidR="00BE7AEE" w:rsidRPr="00BE7AEE">
        <w:rPr>
          <w:rFonts w:ascii="Times New Roman" w:eastAsia="標楷體" w:hAnsi="Times New Roman" w:cs="Times New Roman" w:hint="eastAsia"/>
          <w:sz w:val="20"/>
          <w:szCs w:val="20"/>
        </w:rPr>
        <w:t>學年度第</w:t>
      </w:r>
      <w:r w:rsidR="00BE7AEE" w:rsidRPr="00BE7AEE">
        <w:rPr>
          <w:rFonts w:ascii="Times New Roman" w:eastAsia="標楷體" w:hAnsi="Times New Roman" w:cs="Times New Roman" w:hint="eastAsia"/>
          <w:sz w:val="20"/>
          <w:szCs w:val="20"/>
        </w:rPr>
        <w:t>2</w:t>
      </w:r>
      <w:r w:rsidR="00BE7AEE" w:rsidRPr="00BE7AEE">
        <w:rPr>
          <w:rFonts w:ascii="Times New Roman" w:eastAsia="標楷體" w:hAnsi="Times New Roman" w:cs="Times New Roman" w:hint="eastAsia"/>
          <w:sz w:val="20"/>
          <w:szCs w:val="20"/>
        </w:rPr>
        <w:t>學期第</w:t>
      </w:r>
      <w:r w:rsidR="00BE7AEE" w:rsidRPr="00BE7AEE">
        <w:rPr>
          <w:rFonts w:ascii="Times New Roman" w:eastAsia="標楷體" w:hAnsi="Times New Roman" w:cs="Times New Roman" w:hint="eastAsia"/>
          <w:sz w:val="20"/>
          <w:szCs w:val="20"/>
        </w:rPr>
        <w:t>1</w:t>
      </w:r>
      <w:r w:rsidR="00BE7AEE" w:rsidRPr="00BE7AEE">
        <w:rPr>
          <w:rFonts w:ascii="Times New Roman" w:eastAsia="標楷體" w:hAnsi="Times New Roman" w:cs="Times New Roman" w:hint="eastAsia"/>
          <w:sz w:val="20"/>
          <w:szCs w:val="20"/>
        </w:rPr>
        <w:t>次系課程會議通過</w:t>
      </w:r>
      <w:r>
        <w:rPr>
          <w:rFonts w:ascii="Times New Roman" w:eastAsia="標楷體" w:hAnsi="Times New Roman" w:cs="Times New Roman" w:hint="eastAsia"/>
          <w:sz w:val="20"/>
          <w:szCs w:val="20"/>
        </w:rPr>
        <w:t>(11</w:t>
      </w:r>
      <w:r>
        <w:rPr>
          <w:rFonts w:ascii="Times New Roman" w:eastAsia="標楷體" w:hAnsi="Times New Roman" w:cs="Times New Roman"/>
          <w:sz w:val="20"/>
          <w:szCs w:val="20"/>
        </w:rPr>
        <w:t>3</w:t>
      </w:r>
      <w:r w:rsidR="00BE7AEE" w:rsidRPr="00BE7AEE">
        <w:rPr>
          <w:rFonts w:ascii="Times New Roman" w:eastAsia="標楷體" w:hAnsi="Times New Roman" w:cs="Times New Roman" w:hint="eastAsia"/>
          <w:sz w:val="20"/>
          <w:szCs w:val="20"/>
        </w:rPr>
        <w:t>050</w:t>
      </w:r>
      <w:r w:rsidR="00E528E0">
        <w:rPr>
          <w:rFonts w:ascii="Times New Roman" w:eastAsia="標楷體" w:hAnsi="Times New Roman" w:cs="Times New Roman" w:hint="eastAsia"/>
          <w:sz w:val="20"/>
          <w:szCs w:val="20"/>
        </w:rPr>
        <w:t>9</w:t>
      </w:r>
      <w:r w:rsidR="00BE7AEE" w:rsidRPr="00BE7AEE">
        <w:rPr>
          <w:rFonts w:ascii="Times New Roman" w:eastAsia="標楷體" w:hAnsi="Times New Roman" w:cs="Times New Roman" w:hint="eastAsia"/>
          <w:sz w:val="20"/>
          <w:szCs w:val="20"/>
        </w:rPr>
        <w:t>)</w:t>
      </w:r>
    </w:p>
    <w:p w:rsidR="00D2714C" w:rsidRPr="00DB75D2" w:rsidRDefault="00D2714C" w:rsidP="00D2714C">
      <w:pPr>
        <w:snapToGrid w:val="0"/>
        <w:jc w:val="right"/>
        <w:rPr>
          <w:rFonts w:ascii="Times New Roman" w:eastAsia="標楷體" w:hAnsi="Times New Roman" w:cs="Times New Roman"/>
          <w:sz w:val="20"/>
          <w:szCs w:val="20"/>
        </w:rPr>
      </w:pPr>
      <w:bookmarkStart w:id="0" w:name="_GoBack"/>
      <w:r w:rsidRPr="00DB75D2">
        <w:rPr>
          <w:rFonts w:ascii="Times New Roman" w:eastAsia="標楷體" w:hAnsi="Times New Roman" w:cs="Times New Roman" w:hint="eastAsia"/>
          <w:sz w:val="20"/>
          <w:szCs w:val="20"/>
        </w:rPr>
        <w:t>11</w:t>
      </w:r>
      <w:r w:rsidRPr="00DB75D2">
        <w:rPr>
          <w:rFonts w:ascii="Times New Roman" w:eastAsia="標楷體" w:hAnsi="Times New Roman" w:cs="Times New Roman"/>
          <w:sz w:val="20"/>
          <w:szCs w:val="20"/>
        </w:rPr>
        <w:t>2</w:t>
      </w:r>
      <w:r w:rsidRPr="00DB75D2">
        <w:rPr>
          <w:rFonts w:ascii="Times New Roman" w:eastAsia="標楷體" w:hAnsi="Times New Roman" w:cs="Times New Roman" w:hint="eastAsia"/>
          <w:sz w:val="20"/>
          <w:szCs w:val="20"/>
        </w:rPr>
        <w:t>學年度第</w:t>
      </w:r>
      <w:r w:rsidRPr="00DB75D2">
        <w:rPr>
          <w:rFonts w:ascii="Times New Roman" w:eastAsia="標楷體" w:hAnsi="Times New Roman" w:cs="Times New Roman" w:hint="eastAsia"/>
          <w:sz w:val="20"/>
          <w:szCs w:val="20"/>
        </w:rPr>
        <w:t>2</w:t>
      </w:r>
      <w:r w:rsidRPr="00DB75D2">
        <w:rPr>
          <w:rFonts w:ascii="Times New Roman" w:eastAsia="標楷體" w:hAnsi="Times New Roman" w:cs="Times New Roman" w:hint="eastAsia"/>
          <w:sz w:val="20"/>
          <w:szCs w:val="20"/>
        </w:rPr>
        <w:t>學期第</w:t>
      </w:r>
      <w:r w:rsidRPr="00DB75D2">
        <w:rPr>
          <w:rFonts w:ascii="Times New Roman" w:eastAsia="標楷體" w:hAnsi="Times New Roman" w:cs="Times New Roman" w:hint="eastAsia"/>
          <w:sz w:val="20"/>
          <w:szCs w:val="20"/>
        </w:rPr>
        <w:t>2</w:t>
      </w:r>
      <w:r w:rsidRPr="00DB75D2">
        <w:rPr>
          <w:rFonts w:ascii="Times New Roman" w:eastAsia="標楷體" w:hAnsi="Times New Roman" w:cs="Times New Roman" w:hint="eastAsia"/>
          <w:sz w:val="20"/>
          <w:szCs w:val="20"/>
        </w:rPr>
        <w:t>次院課程會議通過</w:t>
      </w:r>
      <w:r w:rsidRPr="00DB75D2">
        <w:rPr>
          <w:rFonts w:ascii="Times New Roman" w:eastAsia="標楷體" w:hAnsi="Times New Roman" w:cs="Times New Roman" w:hint="eastAsia"/>
          <w:sz w:val="20"/>
          <w:szCs w:val="20"/>
        </w:rPr>
        <w:t>(11</w:t>
      </w:r>
      <w:r w:rsidRPr="00DB75D2">
        <w:rPr>
          <w:rFonts w:ascii="Times New Roman" w:eastAsia="標楷體" w:hAnsi="Times New Roman" w:cs="Times New Roman"/>
          <w:sz w:val="20"/>
          <w:szCs w:val="20"/>
        </w:rPr>
        <w:t>3</w:t>
      </w:r>
      <w:r w:rsidRPr="00DB75D2">
        <w:rPr>
          <w:rFonts w:ascii="Times New Roman" w:eastAsia="標楷體" w:hAnsi="Times New Roman" w:cs="Times New Roman" w:hint="eastAsia"/>
          <w:sz w:val="20"/>
          <w:szCs w:val="20"/>
        </w:rPr>
        <w:t>05</w:t>
      </w:r>
      <w:r w:rsidRPr="00DB75D2">
        <w:rPr>
          <w:rFonts w:ascii="Times New Roman" w:eastAsia="標楷體" w:hAnsi="Times New Roman" w:cs="Times New Roman"/>
          <w:sz w:val="20"/>
          <w:szCs w:val="20"/>
        </w:rPr>
        <w:t>1</w:t>
      </w:r>
      <w:r w:rsidRPr="00DB75D2">
        <w:rPr>
          <w:rFonts w:ascii="Times New Roman" w:eastAsia="標楷體" w:hAnsi="Times New Roman" w:cs="Times New Roman" w:hint="eastAsia"/>
          <w:sz w:val="20"/>
          <w:szCs w:val="20"/>
        </w:rPr>
        <w:t>4)</w:t>
      </w:r>
    </w:p>
    <w:p w:rsidR="00282D7C" w:rsidRPr="00DB75D2" w:rsidRDefault="00D2714C" w:rsidP="00D2714C">
      <w:pPr>
        <w:snapToGrid w:val="0"/>
        <w:jc w:val="right"/>
        <w:rPr>
          <w:rFonts w:ascii="Times New Roman" w:eastAsia="標楷體" w:hAnsi="Times New Roman" w:cs="Times New Roman"/>
          <w:sz w:val="20"/>
          <w:szCs w:val="20"/>
        </w:rPr>
      </w:pPr>
      <w:r w:rsidRPr="00DB75D2">
        <w:rPr>
          <w:rFonts w:ascii="Times New Roman" w:eastAsia="標楷體" w:hAnsi="Times New Roman" w:cs="Times New Roman" w:hint="eastAsia"/>
          <w:sz w:val="20"/>
          <w:szCs w:val="20"/>
        </w:rPr>
        <w:t>11</w:t>
      </w:r>
      <w:r w:rsidRPr="00DB75D2">
        <w:rPr>
          <w:rFonts w:ascii="Times New Roman" w:eastAsia="標楷體" w:hAnsi="Times New Roman" w:cs="Times New Roman"/>
          <w:sz w:val="20"/>
          <w:szCs w:val="20"/>
        </w:rPr>
        <w:t>2</w:t>
      </w:r>
      <w:r w:rsidRPr="00DB75D2">
        <w:rPr>
          <w:rFonts w:ascii="Times New Roman" w:eastAsia="標楷體" w:hAnsi="Times New Roman" w:cs="Times New Roman" w:hint="eastAsia"/>
          <w:sz w:val="20"/>
          <w:szCs w:val="20"/>
        </w:rPr>
        <w:t>學年度第</w:t>
      </w:r>
      <w:r w:rsidRPr="00DB75D2">
        <w:rPr>
          <w:rFonts w:ascii="Times New Roman" w:eastAsia="標楷體" w:hAnsi="Times New Roman" w:cs="Times New Roman" w:hint="eastAsia"/>
          <w:sz w:val="20"/>
          <w:szCs w:val="20"/>
        </w:rPr>
        <w:t>2</w:t>
      </w:r>
      <w:r w:rsidRPr="00DB75D2">
        <w:rPr>
          <w:rFonts w:ascii="Times New Roman" w:eastAsia="標楷體" w:hAnsi="Times New Roman" w:cs="Times New Roman" w:hint="eastAsia"/>
          <w:sz w:val="20"/>
          <w:szCs w:val="20"/>
        </w:rPr>
        <w:t>學期第</w:t>
      </w:r>
      <w:r w:rsidRPr="00DB75D2">
        <w:rPr>
          <w:rFonts w:ascii="Times New Roman" w:eastAsia="標楷體" w:hAnsi="Times New Roman" w:cs="Times New Roman" w:hint="eastAsia"/>
          <w:sz w:val="20"/>
          <w:szCs w:val="20"/>
        </w:rPr>
        <w:t>2</w:t>
      </w:r>
      <w:r w:rsidRPr="00DB75D2">
        <w:rPr>
          <w:rFonts w:ascii="Times New Roman" w:eastAsia="標楷體" w:hAnsi="Times New Roman" w:cs="Times New Roman" w:hint="eastAsia"/>
          <w:sz w:val="20"/>
          <w:szCs w:val="20"/>
        </w:rPr>
        <w:t>次校課程會議通過</w:t>
      </w:r>
      <w:r w:rsidRPr="00DB75D2">
        <w:rPr>
          <w:rFonts w:ascii="Times New Roman" w:eastAsia="標楷體" w:hAnsi="Times New Roman" w:cs="Times New Roman" w:hint="eastAsia"/>
          <w:sz w:val="20"/>
          <w:szCs w:val="20"/>
        </w:rPr>
        <w:t>(11</w:t>
      </w:r>
      <w:r w:rsidRPr="00DB75D2">
        <w:rPr>
          <w:rFonts w:ascii="Times New Roman" w:eastAsia="標楷體" w:hAnsi="Times New Roman" w:cs="Times New Roman"/>
          <w:sz w:val="20"/>
          <w:szCs w:val="20"/>
        </w:rPr>
        <w:t>3</w:t>
      </w:r>
      <w:r w:rsidRPr="00DB75D2">
        <w:rPr>
          <w:rFonts w:ascii="Times New Roman" w:eastAsia="標楷體" w:hAnsi="Times New Roman" w:cs="Times New Roman" w:hint="eastAsia"/>
          <w:sz w:val="20"/>
          <w:szCs w:val="20"/>
        </w:rPr>
        <w:t>0</w:t>
      </w:r>
      <w:r w:rsidR="00DB75D2" w:rsidRPr="00DB75D2">
        <w:rPr>
          <w:rFonts w:ascii="Times New Roman" w:eastAsia="標楷體" w:hAnsi="Times New Roman" w:cs="Times New Roman" w:hint="eastAsia"/>
          <w:sz w:val="20"/>
          <w:szCs w:val="20"/>
        </w:rPr>
        <w:t>523</w:t>
      </w:r>
      <w:r w:rsidRPr="00DB75D2">
        <w:rPr>
          <w:rFonts w:ascii="Times New Roman" w:eastAsia="標楷體" w:hAnsi="Times New Roman" w:cs="Times New Roman" w:hint="eastAsia"/>
          <w:sz w:val="20"/>
          <w:szCs w:val="20"/>
        </w:rPr>
        <w:t>)</w:t>
      </w:r>
    </w:p>
    <w:bookmarkEnd w:id="0"/>
    <w:p w:rsidR="00282D7C" w:rsidRPr="0055490E" w:rsidRDefault="00282D7C" w:rsidP="00D2714C">
      <w:pPr>
        <w:pStyle w:val="a3"/>
        <w:numPr>
          <w:ilvl w:val="0"/>
          <w:numId w:val="3"/>
        </w:numPr>
        <w:snapToGrid w:val="0"/>
        <w:spacing w:beforeLines="100" w:before="360" w:after="20"/>
        <w:ind w:leftChars="0" w:left="561" w:hangingChars="200" w:hanging="561"/>
        <w:rPr>
          <w:rFonts w:eastAsia="標楷體"/>
          <w:b/>
          <w:bCs/>
          <w:color w:val="000000" w:themeColor="text1"/>
          <w:sz w:val="32"/>
          <w:szCs w:val="32"/>
        </w:rPr>
      </w:pPr>
      <w:r w:rsidRPr="0055490E">
        <w:rPr>
          <w:rFonts w:eastAsia="標楷體"/>
          <w:b/>
          <w:bCs/>
          <w:color w:val="000000" w:themeColor="text1"/>
          <w:sz w:val="28"/>
          <w:szCs w:val="28"/>
        </w:rPr>
        <w:t>目標</w:t>
      </w:r>
    </w:p>
    <w:p w:rsidR="00282D7C" w:rsidRPr="006F4427" w:rsidRDefault="00282D7C" w:rsidP="0064131E">
      <w:pPr>
        <w:pStyle w:val="a3"/>
        <w:snapToGrid w:val="0"/>
        <w:spacing w:beforeLines="20" w:before="72" w:afterLines="20" w:after="72"/>
        <w:ind w:leftChars="0" w:left="0" w:firstLineChars="200" w:firstLine="480"/>
        <w:jc w:val="both"/>
        <w:rPr>
          <w:rFonts w:eastAsia="標楷體"/>
          <w:b/>
          <w:bCs/>
          <w:color w:val="000000" w:themeColor="text1"/>
          <w:sz w:val="28"/>
          <w:szCs w:val="28"/>
        </w:rPr>
      </w:pPr>
      <w:r w:rsidRPr="006F4427">
        <w:rPr>
          <w:rFonts w:eastAsia="標楷體"/>
          <w:color w:val="000000" w:themeColor="text1"/>
        </w:rPr>
        <w:t>本所成立旨在培養具有深厚應用科學素養的公民及優秀之生物科技從業與研究人才，及提供相關師資、設備進行產學合作，以服務地方，藉以促進生物科技等之相關產業發展。</w:t>
      </w:r>
    </w:p>
    <w:p w:rsidR="00282D7C" w:rsidRPr="006F4427" w:rsidRDefault="00282D7C" w:rsidP="00D2714C">
      <w:pPr>
        <w:pStyle w:val="a3"/>
        <w:numPr>
          <w:ilvl w:val="0"/>
          <w:numId w:val="3"/>
        </w:numPr>
        <w:snapToGrid w:val="0"/>
        <w:spacing w:beforeLines="100" w:before="360" w:afterLines="20" w:after="72"/>
        <w:ind w:leftChars="0" w:left="561" w:hangingChars="200" w:hanging="561"/>
        <w:jc w:val="both"/>
        <w:rPr>
          <w:rFonts w:eastAsia="標楷體"/>
          <w:b/>
          <w:bCs/>
          <w:color w:val="000000" w:themeColor="text1"/>
          <w:sz w:val="28"/>
          <w:szCs w:val="28"/>
        </w:rPr>
      </w:pPr>
      <w:r w:rsidRPr="006F4427">
        <w:rPr>
          <w:rFonts w:eastAsia="標楷體"/>
          <w:b/>
          <w:bCs/>
          <w:color w:val="000000" w:themeColor="text1"/>
          <w:sz w:val="28"/>
          <w:szCs w:val="28"/>
        </w:rPr>
        <w:t>課程結構</w:t>
      </w:r>
    </w:p>
    <w:tbl>
      <w:tblPr>
        <w:tblW w:w="9911"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3527"/>
        <w:gridCol w:w="2858"/>
      </w:tblGrid>
      <w:tr w:rsidR="00282D7C" w:rsidRPr="006F4427" w:rsidTr="001C274C">
        <w:tc>
          <w:tcPr>
            <w:tcW w:w="9911" w:type="dxa"/>
            <w:gridSpan w:val="3"/>
          </w:tcPr>
          <w:p w:rsidR="00282D7C" w:rsidRPr="006F4427" w:rsidRDefault="00282D7C" w:rsidP="00D94A54">
            <w:pPr>
              <w:spacing w:beforeLines="20" w:before="72" w:afterLines="20" w:after="72" w:line="400" w:lineRule="exact"/>
              <w:ind w:firstLineChars="1459" w:firstLine="4089"/>
              <w:jc w:val="both"/>
              <w:rPr>
                <w:rFonts w:ascii="Times New Roman" w:eastAsia="標楷體" w:hAnsi="Times New Roman" w:cs="Times New Roman"/>
                <w:b/>
                <w:color w:val="000000" w:themeColor="text1"/>
                <w:sz w:val="28"/>
                <w:szCs w:val="28"/>
              </w:rPr>
            </w:pPr>
            <w:r w:rsidRPr="006F4427">
              <w:rPr>
                <w:rFonts w:ascii="Times New Roman" w:eastAsia="標楷體" w:hAnsi="Times New Roman" w:cs="Times New Roman"/>
                <w:b/>
                <w:color w:val="000000" w:themeColor="text1"/>
                <w:sz w:val="28"/>
                <w:szCs w:val="28"/>
              </w:rPr>
              <w:t>課</w:t>
            </w:r>
            <w:r w:rsidRPr="006F4427">
              <w:rPr>
                <w:rFonts w:ascii="Times New Roman" w:eastAsia="標楷體" w:hAnsi="Times New Roman" w:cs="Times New Roman"/>
                <w:b/>
                <w:color w:val="000000" w:themeColor="text1"/>
                <w:sz w:val="28"/>
                <w:szCs w:val="28"/>
              </w:rPr>
              <w:t xml:space="preserve">   </w:t>
            </w:r>
            <w:r w:rsidRPr="006F4427">
              <w:rPr>
                <w:rFonts w:ascii="Times New Roman" w:eastAsia="標楷體" w:hAnsi="Times New Roman" w:cs="Times New Roman"/>
                <w:b/>
                <w:color w:val="000000" w:themeColor="text1"/>
                <w:sz w:val="28"/>
                <w:szCs w:val="28"/>
              </w:rPr>
              <w:t>程</w:t>
            </w:r>
            <w:r w:rsidRPr="006F4427">
              <w:rPr>
                <w:rFonts w:ascii="Times New Roman" w:eastAsia="標楷體" w:hAnsi="Times New Roman" w:cs="Times New Roman"/>
                <w:b/>
                <w:color w:val="000000" w:themeColor="text1"/>
                <w:sz w:val="28"/>
                <w:szCs w:val="28"/>
              </w:rPr>
              <w:t xml:space="preserve">   </w:t>
            </w:r>
            <w:r w:rsidRPr="006F4427">
              <w:rPr>
                <w:rFonts w:ascii="Times New Roman" w:eastAsia="標楷體" w:hAnsi="Times New Roman" w:cs="Times New Roman"/>
                <w:b/>
                <w:color w:val="000000" w:themeColor="text1"/>
                <w:sz w:val="28"/>
                <w:szCs w:val="28"/>
              </w:rPr>
              <w:t>類</w:t>
            </w:r>
            <w:r w:rsidRPr="006F4427">
              <w:rPr>
                <w:rFonts w:ascii="Times New Roman" w:eastAsia="標楷體" w:hAnsi="Times New Roman" w:cs="Times New Roman"/>
                <w:b/>
                <w:color w:val="000000" w:themeColor="text1"/>
                <w:sz w:val="28"/>
                <w:szCs w:val="28"/>
              </w:rPr>
              <w:t xml:space="preserve">   </w:t>
            </w:r>
            <w:r w:rsidRPr="006F4427">
              <w:rPr>
                <w:rFonts w:ascii="Times New Roman" w:eastAsia="標楷體" w:hAnsi="Times New Roman" w:cs="Times New Roman"/>
                <w:b/>
                <w:color w:val="000000" w:themeColor="text1"/>
                <w:sz w:val="28"/>
                <w:szCs w:val="28"/>
              </w:rPr>
              <w:t>別</w:t>
            </w:r>
          </w:p>
        </w:tc>
      </w:tr>
      <w:tr w:rsidR="00282D7C" w:rsidRPr="006F4427" w:rsidTr="001C274C">
        <w:trPr>
          <w:trHeight w:val="417"/>
        </w:trPr>
        <w:tc>
          <w:tcPr>
            <w:tcW w:w="3526"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color w:val="000000" w:themeColor="text1"/>
                <w:sz w:val="28"/>
                <w:szCs w:val="28"/>
              </w:rPr>
            </w:pPr>
            <w:r w:rsidRPr="006F4427">
              <w:rPr>
                <w:rFonts w:ascii="Times New Roman" w:eastAsia="標楷體" w:hAnsi="Times New Roman" w:cs="Times New Roman"/>
                <w:color w:val="000000" w:themeColor="text1"/>
                <w:sz w:val="28"/>
                <w:szCs w:val="28"/>
              </w:rPr>
              <w:t>共同課程</w:t>
            </w:r>
          </w:p>
        </w:tc>
        <w:tc>
          <w:tcPr>
            <w:tcW w:w="3527"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color w:val="000000" w:themeColor="text1"/>
                <w:sz w:val="28"/>
                <w:szCs w:val="28"/>
              </w:rPr>
            </w:pPr>
            <w:r w:rsidRPr="006F4427">
              <w:rPr>
                <w:rFonts w:ascii="Times New Roman" w:eastAsia="標楷體" w:hAnsi="Times New Roman" w:cs="Times New Roman"/>
                <w:color w:val="000000" w:themeColor="text1"/>
                <w:sz w:val="28"/>
                <w:szCs w:val="28"/>
              </w:rPr>
              <w:t>必</w:t>
            </w:r>
            <w:r w:rsidRPr="006F4427">
              <w:rPr>
                <w:rFonts w:ascii="Times New Roman" w:eastAsia="標楷體" w:hAnsi="Times New Roman" w:cs="Times New Roman"/>
                <w:color w:val="000000" w:themeColor="text1"/>
                <w:sz w:val="28"/>
                <w:szCs w:val="28"/>
              </w:rPr>
              <w:t xml:space="preserve"> </w:t>
            </w:r>
            <w:r w:rsidRPr="006F4427">
              <w:rPr>
                <w:rFonts w:ascii="Times New Roman" w:eastAsia="標楷體" w:hAnsi="Times New Roman" w:cs="Times New Roman"/>
                <w:color w:val="000000" w:themeColor="text1"/>
                <w:sz w:val="28"/>
                <w:szCs w:val="28"/>
              </w:rPr>
              <w:t>修</w:t>
            </w:r>
          </w:p>
        </w:tc>
        <w:tc>
          <w:tcPr>
            <w:tcW w:w="2858"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color w:val="000000" w:themeColor="text1"/>
                <w:sz w:val="28"/>
                <w:szCs w:val="28"/>
              </w:rPr>
            </w:pPr>
            <w:r w:rsidRPr="006F4427">
              <w:rPr>
                <w:rFonts w:ascii="Times New Roman" w:eastAsia="標楷體" w:hAnsi="Times New Roman" w:cs="Times New Roman"/>
                <w:color w:val="000000" w:themeColor="text1"/>
                <w:sz w:val="28"/>
                <w:szCs w:val="28"/>
              </w:rPr>
              <w:t>8</w:t>
            </w:r>
            <w:r w:rsidRPr="006F4427">
              <w:rPr>
                <w:rFonts w:ascii="Times New Roman" w:eastAsia="標楷體" w:hAnsi="Times New Roman" w:cs="Times New Roman"/>
                <w:color w:val="000000" w:themeColor="text1"/>
                <w:sz w:val="28"/>
                <w:szCs w:val="28"/>
              </w:rPr>
              <w:t>學分</w:t>
            </w:r>
          </w:p>
        </w:tc>
      </w:tr>
      <w:tr w:rsidR="00282D7C" w:rsidRPr="006F4427" w:rsidTr="001C274C">
        <w:tc>
          <w:tcPr>
            <w:tcW w:w="3526"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color w:val="000000" w:themeColor="text1"/>
                <w:sz w:val="28"/>
                <w:szCs w:val="28"/>
              </w:rPr>
            </w:pPr>
            <w:r w:rsidRPr="006F4427">
              <w:rPr>
                <w:rFonts w:ascii="Times New Roman" w:eastAsia="標楷體" w:hAnsi="Times New Roman" w:cs="Times New Roman"/>
                <w:color w:val="000000" w:themeColor="text1"/>
                <w:sz w:val="28"/>
                <w:szCs w:val="28"/>
              </w:rPr>
              <w:t>專長選修</w:t>
            </w:r>
          </w:p>
        </w:tc>
        <w:tc>
          <w:tcPr>
            <w:tcW w:w="3527"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color w:val="000000" w:themeColor="text1"/>
                <w:sz w:val="28"/>
                <w:szCs w:val="28"/>
              </w:rPr>
            </w:pPr>
            <w:r w:rsidRPr="006F4427">
              <w:rPr>
                <w:rFonts w:ascii="Times New Roman" w:eastAsia="標楷體" w:hAnsi="Times New Roman" w:cs="Times New Roman"/>
                <w:color w:val="000000" w:themeColor="text1"/>
                <w:sz w:val="28"/>
                <w:szCs w:val="28"/>
              </w:rPr>
              <w:t>選</w:t>
            </w:r>
            <w:r w:rsidRPr="006F4427">
              <w:rPr>
                <w:rFonts w:ascii="Times New Roman" w:eastAsia="標楷體" w:hAnsi="Times New Roman" w:cs="Times New Roman"/>
                <w:color w:val="000000" w:themeColor="text1"/>
                <w:sz w:val="28"/>
                <w:szCs w:val="28"/>
              </w:rPr>
              <w:t xml:space="preserve"> </w:t>
            </w:r>
            <w:r w:rsidRPr="006F4427">
              <w:rPr>
                <w:rFonts w:ascii="Times New Roman" w:eastAsia="標楷體" w:hAnsi="Times New Roman" w:cs="Times New Roman"/>
                <w:color w:val="000000" w:themeColor="text1"/>
                <w:sz w:val="28"/>
                <w:szCs w:val="28"/>
              </w:rPr>
              <w:t>修</w:t>
            </w:r>
          </w:p>
        </w:tc>
        <w:tc>
          <w:tcPr>
            <w:tcW w:w="2858"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color w:val="000000" w:themeColor="text1"/>
                <w:sz w:val="28"/>
                <w:szCs w:val="28"/>
              </w:rPr>
            </w:pPr>
            <w:r w:rsidRPr="006F4427">
              <w:rPr>
                <w:rFonts w:ascii="Times New Roman" w:eastAsia="標楷體" w:hAnsi="Times New Roman" w:cs="Times New Roman"/>
                <w:color w:val="000000" w:themeColor="text1"/>
                <w:sz w:val="28"/>
                <w:szCs w:val="28"/>
              </w:rPr>
              <w:t>16</w:t>
            </w:r>
            <w:r w:rsidRPr="006F4427">
              <w:rPr>
                <w:rFonts w:ascii="Times New Roman" w:eastAsia="標楷體" w:hAnsi="Times New Roman" w:cs="Times New Roman"/>
                <w:color w:val="000000" w:themeColor="text1"/>
                <w:sz w:val="28"/>
                <w:szCs w:val="28"/>
              </w:rPr>
              <w:t>學分</w:t>
            </w:r>
          </w:p>
        </w:tc>
      </w:tr>
      <w:tr w:rsidR="00282D7C" w:rsidRPr="006F4427" w:rsidTr="001C274C">
        <w:tc>
          <w:tcPr>
            <w:tcW w:w="7053" w:type="dxa"/>
            <w:gridSpan w:val="2"/>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b/>
                <w:color w:val="000000" w:themeColor="text1"/>
                <w:sz w:val="28"/>
                <w:szCs w:val="28"/>
              </w:rPr>
            </w:pPr>
            <w:r w:rsidRPr="006F4427">
              <w:rPr>
                <w:rFonts w:ascii="Times New Roman" w:eastAsia="標楷體" w:hAnsi="Times New Roman" w:cs="Times New Roman"/>
                <w:b/>
                <w:color w:val="000000" w:themeColor="text1"/>
                <w:sz w:val="28"/>
                <w:szCs w:val="28"/>
              </w:rPr>
              <w:t>總</w:t>
            </w:r>
            <w:r w:rsidRPr="006F4427">
              <w:rPr>
                <w:rFonts w:ascii="Times New Roman" w:eastAsia="標楷體" w:hAnsi="Times New Roman" w:cs="Times New Roman"/>
                <w:b/>
                <w:color w:val="000000" w:themeColor="text1"/>
                <w:sz w:val="28"/>
                <w:szCs w:val="28"/>
              </w:rPr>
              <w:t xml:space="preserve">      </w:t>
            </w:r>
            <w:r w:rsidRPr="006F4427">
              <w:rPr>
                <w:rFonts w:ascii="Times New Roman" w:eastAsia="標楷體" w:hAnsi="Times New Roman" w:cs="Times New Roman"/>
                <w:b/>
                <w:color w:val="000000" w:themeColor="text1"/>
                <w:sz w:val="28"/>
                <w:szCs w:val="28"/>
              </w:rPr>
              <w:t>計</w:t>
            </w:r>
          </w:p>
        </w:tc>
        <w:tc>
          <w:tcPr>
            <w:tcW w:w="2858" w:type="dxa"/>
            <w:vAlign w:val="center"/>
          </w:tcPr>
          <w:p w:rsidR="00282D7C" w:rsidRPr="006F4427" w:rsidRDefault="00282D7C" w:rsidP="00D94A54">
            <w:pPr>
              <w:spacing w:beforeLines="20" w:before="72" w:afterLines="20" w:after="72" w:line="400" w:lineRule="exact"/>
              <w:jc w:val="center"/>
              <w:rPr>
                <w:rFonts w:ascii="Times New Roman" w:eastAsia="標楷體" w:hAnsi="Times New Roman" w:cs="Times New Roman"/>
                <w:b/>
                <w:color w:val="000000" w:themeColor="text1"/>
                <w:sz w:val="28"/>
                <w:szCs w:val="28"/>
              </w:rPr>
            </w:pPr>
            <w:r w:rsidRPr="006F4427">
              <w:rPr>
                <w:rFonts w:ascii="Times New Roman" w:eastAsia="標楷體" w:hAnsi="Times New Roman" w:cs="Times New Roman"/>
                <w:b/>
                <w:color w:val="000000" w:themeColor="text1"/>
                <w:sz w:val="28"/>
                <w:szCs w:val="28"/>
              </w:rPr>
              <w:t>24</w:t>
            </w:r>
            <w:r w:rsidRPr="006F4427">
              <w:rPr>
                <w:rFonts w:ascii="Times New Roman" w:eastAsia="標楷體" w:hAnsi="Times New Roman" w:cs="Times New Roman"/>
                <w:b/>
                <w:color w:val="000000" w:themeColor="text1"/>
                <w:sz w:val="28"/>
                <w:szCs w:val="28"/>
              </w:rPr>
              <w:t>學分</w:t>
            </w:r>
          </w:p>
        </w:tc>
      </w:tr>
    </w:tbl>
    <w:p w:rsidR="00282D7C" w:rsidRPr="006F4427" w:rsidRDefault="00282D7C" w:rsidP="00D2714C">
      <w:pPr>
        <w:pStyle w:val="a3"/>
        <w:numPr>
          <w:ilvl w:val="0"/>
          <w:numId w:val="3"/>
        </w:numPr>
        <w:snapToGrid w:val="0"/>
        <w:spacing w:beforeLines="100" w:before="360" w:afterLines="20" w:after="72"/>
        <w:ind w:leftChars="0" w:left="561" w:hangingChars="200" w:hanging="561"/>
        <w:jc w:val="both"/>
        <w:rPr>
          <w:rFonts w:eastAsia="標楷體"/>
          <w:b/>
          <w:bCs/>
          <w:color w:val="000000" w:themeColor="text1"/>
          <w:sz w:val="28"/>
          <w:szCs w:val="28"/>
        </w:rPr>
      </w:pPr>
      <w:r w:rsidRPr="006F4427">
        <w:rPr>
          <w:rFonts w:eastAsia="標楷體"/>
          <w:b/>
          <w:bCs/>
          <w:color w:val="000000" w:themeColor="text1"/>
          <w:sz w:val="28"/>
          <w:szCs w:val="28"/>
        </w:rPr>
        <w:t>選課須知</w:t>
      </w:r>
    </w:p>
    <w:p w:rsidR="00282D7C" w:rsidRPr="006F4427" w:rsidRDefault="00282D7C" w:rsidP="0064131E">
      <w:pPr>
        <w:pStyle w:val="a3"/>
        <w:numPr>
          <w:ilvl w:val="0"/>
          <w:numId w:val="4"/>
        </w:numPr>
        <w:snapToGrid w:val="0"/>
        <w:spacing w:beforeLines="50" w:before="180" w:afterLines="20" w:after="72"/>
        <w:ind w:left="960" w:hangingChars="200"/>
        <w:jc w:val="both"/>
        <w:rPr>
          <w:rFonts w:eastAsia="標楷體"/>
          <w:bCs/>
          <w:color w:val="000000" w:themeColor="text1"/>
        </w:rPr>
      </w:pPr>
      <w:r w:rsidRPr="006F4427">
        <w:rPr>
          <w:rFonts w:eastAsia="標楷體"/>
          <w:bCs/>
          <w:color w:val="000000" w:themeColor="text1"/>
        </w:rPr>
        <w:t>本所課程中，必修</w:t>
      </w:r>
      <w:r w:rsidRPr="006F4427">
        <w:rPr>
          <w:rFonts w:eastAsia="標楷體"/>
          <w:bCs/>
          <w:color w:val="000000" w:themeColor="text1"/>
        </w:rPr>
        <w:t>8</w:t>
      </w:r>
      <w:r w:rsidRPr="006F4427">
        <w:rPr>
          <w:rFonts w:eastAsia="標楷體"/>
          <w:bCs/>
          <w:color w:val="000000" w:themeColor="text1"/>
        </w:rPr>
        <w:t>學分</w:t>
      </w:r>
      <w:r w:rsidR="00921EA7">
        <w:rPr>
          <w:rFonts w:eastAsia="標楷體" w:hint="eastAsia"/>
          <w:bCs/>
          <w:color w:val="000000" w:themeColor="text1"/>
        </w:rPr>
        <w:t>(</w:t>
      </w:r>
      <w:r w:rsidRPr="006F4427">
        <w:rPr>
          <w:rFonts w:eastAsia="標楷體"/>
          <w:bCs/>
          <w:color w:val="000000" w:themeColor="text1"/>
        </w:rPr>
        <w:t>不含論文</w:t>
      </w:r>
      <w:r w:rsidR="00921EA7">
        <w:rPr>
          <w:rFonts w:eastAsia="標楷體" w:hint="eastAsia"/>
          <w:bCs/>
          <w:color w:val="000000" w:themeColor="text1"/>
        </w:rPr>
        <w:t>)</w:t>
      </w:r>
      <w:r w:rsidRPr="006F4427">
        <w:rPr>
          <w:rFonts w:eastAsia="標楷體"/>
          <w:bCs/>
          <w:color w:val="000000" w:themeColor="text1"/>
        </w:rPr>
        <w:t>，選修</w:t>
      </w:r>
      <w:r w:rsidRPr="006F4427">
        <w:rPr>
          <w:rFonts w:eastAsia="標楷體"/>
          <w:bCs/>
          <w:color w:val="000000" w:themeColor="text1"/>
        </w:rPr>
        <w:t>16</w:t>
      </w:r>
      <w:r w:rsidRPr="006F4427">
        <w:rPr>
          <w:rFonts w:eastAsia="標楷體"/>
          <w:bCs/>
          <w:color w:val="000000" w:themeColor="text1"/>
        </w:rPr>
        <w:t>學分。乃是為提供學生有充分依興趣與能力選擇學習專業的機會。</w:t>
      </w:r>
    </w:p>
    <w:p w:rsidR="00282D7C" w:rsidRPr="006F4427" w:rsidRDefault="00282D7C" w:rsidP="0064131E">
      <w:pPr>
        <w:pStyle w:val="a3"/>
        <w:numPr>
          <w:ilvl w:val="0"/>
          <w:numId w:val="4"/>
        </w:numPr>
        <w:snapToGrid w:val="0"/>
        <w:spacing w:beforeLines="50" w:before="180" w:afterLines="20" w:after="72"/>
        <w:ind w:left="960" w:hangingChars="200"/>
        <w:jc w:val="both"/>
        <w:rPr>
          <w:rFonts w:eastAsia="標楷體"/>
          <w:bCs/>
          <w:color w:val="000000" w:themeColor="text1"/>
        </w:rPr>
      </w:pPr>
      <w:r w:rsidRPr="006F4427">
        <w:rPr>
          <w:rFonts w:eastAsia="標楷體"/>
          <w:bCs/>
          <w:color w:val="000000" w:themeColor="text1"/>
        </w:rPr>
        <w:t>全職生選課每學期上限為</w:t>
      </w:r>
      <w:r w:rsidRPr="006F4427">
        <w:rPr>
          <w:rFonts w:eastAsia="標楷體"/>
          <w:bCs/>
          <w:color w:val="000000" w:themeColor="text1"/>
        </w:rPr>
        <w:t>15</w:t>
      </w:r>
      <w:r w:rsidRPr="006F4427">
        <w:rPr>
          <w:rFonts w:eastAsia="標楷體"/>
          <w:bCs/>
          <w:color w:val="000000" w:themeColor="text1"/>
        </w:rPr>
        <w:t>學分，在職生每學期上限為</w:t>
      </w:r>
      <w:r w:rsidRPr="006F4427">
        <w:rPr>
          <w:rFonts w:eastAsia="標楷體"/>
          <w:bCs/>
          <w:color w:val="000000" w:themeColor="text1"/>
        </w:rPr>
        <w:t>12</w:t>
      </w:r>
      <w:r w:rsidRPr="006F4427">
        <w:rPr>
          <w:rFonts w:eastAsia="標楷體"/>
          <w:bCs/>
          <w:color w:val="000000" w:themeColor="text1"/>
        </w:rPr>
        <w:t>學分。</w:t>
      </w:r>
    </w:p>
    <w:p w:rsidR="00282D7C" w:rsidRPr="006F4427" w:rsidRDefault="00282D7C" w:rsidP="0064131E">
      <w:pPr>
        <w:pStyle w:val="a3"/>
        <w:numPr>
          <w:ilvl w:val="0"/>
          <w:numId w:val="4"/>
        </w:numPr>
        <w:snapToGrid w:val="0"/>
        <w:spacing w:beforeLines="50" w:before="180" w:afterLines="20" w:after="72"/>
        <w:ind w:left="960" w:hangingChars="200"/>
        <w:jc w:val="both"/>
        <w:rPr>
          <w:rFonts w:eastAsia="標楷體"/>
          <w:bCs/>
          <w:color w:val="000000" w:themeColor="text1"/>
        </w:rPr>
      </w:pPr>
      <w:r w:rsidRPr="006F4427">
        <w:rPr>
          <w:rFonts w:eastAsia="標楷體"/>
          <w:bCs/>
          <w:color w:val="000000" w:themeColor="text1"/>
        </w:rPr>
        <w:t>除所開必修外其他選修科目由指導老師依學生背景與論文計畫決定修習課程。</w:t>
      </w:r>
    </w:p>
    <w:p w:rsidR="00282D7C" w:rsidRPr="006F4427" w:rsidRDefault="00282D7C" w:rsidP="0064131E">
      <w:pPr>
        <w:pStyle w:val="a3"/>
        <w:numPr>
          <w:ilvl w:val="0"/>
          <w:numId w:val="4"/>
        </w:numPr>
        <w:snapToGrid w:val="0"/>
        <w:spacing w:beforeLines="50" w:before="180" w:afterLines="20" w:after="72"/>
        <w:ind w:left="960" w:hangingChars="200"/>
        <w:jc w:val="both"/>
        <w:rPr>
          <w:rFonts w:eastAsia="標楷體"/>
          <w:bCs/>
          <w:color w:val="000000" w:themeColor="text1"/>
        </w:rPr>
      </w:pPr>
      <w:r w:rsidRPr="006F4427">
        <w:rPr>
          <w:rFonts w:eastAsia="標楷體"/>
          <w:bCs/>
          <w:color w:val="000000" w:themeColor="text1"/>
        </w:rPr>
        <w:t>畢業總學分至少</w:t>
      </w:r>
      <w:r w:rsidRPr="006F4427">
        <w:rPr>
          <w:rFonts w:eastAsia="標楷體"/>
          <w:bCs/>
          <w:color w:val="000000" w:themeColor="text1"/>
        </w:rPr>
        <w:t>24</w:t>
      </w:r>
      <w:r w:rsidRPr="006F4427">
        <w:rPr>
          <w:rFonts w:eastAsia="標楷體"/>
          <w:bCs/>
          <w:color w:val="000000" w:themeColor="text1"/>
        </w:rPr>
        <w:t>學分，在職生修業年限</w:t>
      </w:r>
      <w:r w:rsidRPr="006F4427">
        <w:rPr>
          <w:rFonts w:eastAsia="標楷體"/>
          <w:bCs/>
          <w:color w:val="000000" w:themeColor="text1"/>
        </w:rPr>
        <w:t>1</w:t>
      </w:r>
      <w:r w:rsidRPr="006F4427">
        <w:rPr>
          <w:rFonts w:eastAsia="標楷體"/>
          <w:bCs/>
          <w:color w:val="000000" w:themeColor="text1"/>
        </w:rPr>
        <w:t>～</w:t>
      </w:r>
      <w:r w:rsidRPr="006F4427">
        <w:rPr>
          <w:rFonts w:eastAsia="標楷體"/>
          <w:bCs/>
          <w:color w:val="000000" w:themeColor="text1"/>
        </w:rPr>
        <w:t>5</w:t>
      </w:r>
      <w:r w:rsidRPr="006F4427">
        <w:rPr>
          <w:rFonts w:eastAsia="標楷體"/>
          <w:bCs/>
          <w:color w:val="000000" w:themeColor="text1"/>
        </w:rPr>
        <w:t>年，全職生修業年限為</w:t>
      </w:r>
      <w:r w:rsidRPr="006F4427">
        <w:rPr>
          <w:rFonts w:eastAsia="標楷體"/>
          <w:bCs/>
          <w:color w:val="000000" w:themeColor="text1"/>
        </w:rPr>
        <w:t>1</w:t>
      </w:r>
      <w:r w:rsidRPr="006F4427">
        <w:rPr>
          <w:rFonts w:eastAsia="標楷體"/>
          <w:bCs/>
          <w:color w:val="000000" w:themeColor="text1"/>
        </w:rPr>
        <w:t>～</w:t>
      </w:r>
      <w:r w:rsidRPr="006F4427">
        <w:rPr>
          <w:rFonts w:eastAsia="標楷體"/>
          <w:bCs/>
          <w:color w:val="000000" w:themeColor="text1"/>
        </w:rPr>
        <w:t>4</w:t>
      </w:r>
      <w:r w:rsidRPr="006F4427">
        <w:rPr>
          <w:rFonts w:eastAsia="標楷體"/>
          <w:bCs/>
          <w:color w:val="000000" w:themeColor="text1"/>
        </w:rPr>
        <w:t>年。</w:t>
      </w:r>
    </w:p>
    <w:p w:rsidR="00282D7C" w:rsidRPr="006F4427" w:rsidRDefault="00282D7C" w:rsidP="0064131E">
      <w:pPr>
        <w:pStyle w:val="a3"/>
        <w:numPr>
          <w:ilvl w:val="0"/>
          <w:numId w:val="4"/>
        </w:numPr>
        <w:snapToGrid w:val="0"/>
        <w:spacing w:beforeLines="50" w:before="180" w:afterLines="20" w:after="72"/>
        <w:ind w:left="960" w:hangingChars="200"/>
        <w:jc w:val="both"/>
        <w:rPr>
          <w:rFonts w:eastAsia="標楷體"/>
          <w:bCs/>
          <w:color w:val="000000" w:themeColor="text1"/>
        </w:rPr>
      </w:pPr>
      <w:r w:rsidRPr="006F4427">
        <w:rPr>
          <w:rFonts w:eastAsia="標楷體"/>
          <w:bCs/>
          <w:color w:val="000000" w:themeColor="text1"/>
        </w:rPr>
        <w:t>修滿規定課程與學分並通過論文即具畢業資格。</w:t>
      </w:r>
    </w:p>
    <w:p w:rsidR="00282D7C" w:rsidRPr="006F4427" w:rsidRDefault="00282D7C" w:rsidP="0064131E">
      <w:pPr>
        <w:pStyle w:val="a3"/>
        <w:numPr>
          <w:ilvl w:val="0"/>
          <w:numId w:val="4"/>
        </w:numPr>
        <w:snapToGrid w:val="0"/>
        <w:spacing w:beforeLines="50" w:before="180" w:afterLines="20" w:after="72"/>
        <w:ind w:left="960" w:hangingChars="200"/>
        <w:jc w:val="both"/>
        <w:rPr>
          <w:rFonts w:eastAsia="標楷體"/>
          <w:bCs/>
          <w:color w:val="000000" w:themeColor="text1"/>
        </w:rPr>
      </w:pPr>
      <w:r w:rsidRPr="006F4427">
        <w:rPr>
          <w:rFonts w:eastAsia="標楷體"/>
          <w:bCs/>
          <w:color w:val="000000" w:themeColor="text1"/>
        </w:rPr>
        <w:t>學術研究倫理教育課程為必修，學分數為</w:t>
      </w:r>
      <w:r w:rsidRPr="006F4427">
        <w:rPr>
          <w:rFonts w:eastAsia="標楷體"/>
          <w:bCs/>
          <w:color w:val="000000" w:themeColor="text1"/>
        </w:rPr>
        <w:t>0</w:t>
      </w:r>
      <w:r w:rsidRPr="006F4427">
        <w:rPr>
          <w:rFonts w:eastAsia="標楷體"/>
          <w:bCs/>
          <w:color w:val="000000" w:themeColor="text1"/>
        </w:rPr>
        <w:t>學分，學生須於學位論文計畫審核前至「臺灣學術倫理教育資源中心」線上平臺修習指定課程，並通過課程總測驗成績及格標準，即可線上取得修課證明。</w:t>
      </w:r>
    </w:p>
    <w:p w:rsidR="00282D7C" w:rsidRPr="006F4427" w:rsidRDefault="00282D7C" w:rsidP="00D2714C">
      <w:pPr>
        <w:pStyle w:val="a3"/>
        <w:numPr>
          <w:ilvl w:val="0"/>
          <w:numId w:val="4"/>
        </w:numPr>
        <w:snapToGrid w:val="0"/>
        <w:spacing w:beforeLines="50" w:before="180" w:afterLines="20" w:after="72"/>
        <w:ind w:left="960" w:hangingChars="200"/>
        <w:rPr>
          <w:rFonts w:eastAsia="標楷體"/>
          <w:bCs/>
          <w:color w:val="000000" w:themeColor="text1"/>
        </w:rPr>
      </w:pPr>
      <w:r w:rsidRPr="006F4427">
        <w:rPr>
          <w:rFonts w:eastAsia="標楷體"/>
          <w:bCs/>
          <w:color w:val="000000" w:themeColor="text1"/>
        </w:rPr>
        <w:t>本修訂辦法自</w:t>
      </w:r>
      <w:r w:rsidR="00340B66">
        <w:rPr>
          <w:rFonts w:eastAsia="標楷體"/>
          <w:b/>
          <w:bCs/>
          <w:color w:val="000000" w:themeColor="text1"/>
        </w:rPr>
        <w:t>113</w:t>
      </w:r>
      <w:r w:rsidRPr="006F4427">
        <w:rPr>
          <w:rFonts w:eastAsia="標楷體"/>
          <w:bCs/>
          <w:color w:val="000000" w:themeColor="text1"/>
        </w:rPr>
        <w:t>學年度入學學生適用。</w:t>
      </w:r>
    </w:p>
    <w:tbl>
      <w:tblPr>
        <w:tblW w:w="1048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32"/>
        <w:gridCol w:w="2170"/>
        <w:gridCol w:w="1666"/>
        <w:gridCol w:w="504"/>
        <w:gridCol w:w="406"/>
        <w:gridCol w:w="349"/>
        <w:gridCol w:w="651"/>
        <w:gridCol w:w="3248"/>
        <w:gridCol w:w="567"/>
      </w:tblGrid>
      <w:tr w:rsidR="00282D7C" w:rsidRPr="006F4427" w:rsidTr="00D2714C">
        <w:trPr>
          <w:tblHeader/>
        </w:trPr>
        <w:tc>
          <w:tcPr>
            <w:tcW w:w="392"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類別</w:t>
            </w:r>
          </w:p>
        </w:tc>
        <w:tc>
          <w:tcPr>
            <w:tcW w:w="532"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學分數</w:t>
            </w:r>
          </w:p>
        </w:tc>
        <w:tc>
          <w:tcPr>
            <w:tcW w:w="2170"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科目中文名稱</w:t>
            </w:r>
          </w:p>
        </w:tc>
        <w:tc>
          <w:tcPr>
            <w:tcW w:w="1666"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科目代碼</w:t>
            </w:r>
          </w:p>
        </w:tc>
        <w:tc>
          <w:tcPr>
            <w:tcW w:w="504"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必選修</w:t>
            </w:r>
          </w:p>
        </w:tc>
        <w:tc>
          <w:tcPr>
            <w:tcW w:w="406"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學分</w:t>
            </w:r>
          </w:p>
        </w:tc>
        <w:tc>
          <w:tcPr>
            <w:tcW w:w="349"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時數</w:t>
            </w:r>
          </w:p>
        </w:tc>
        <w:tc>
          <w:tcPr>
            <w:tcW w:w="651"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開課年級</w:t>
            </w:r>
          </w:p>
        </w:tc>
        <w:tc>
          <w:tcPr>
            <w:tcW w:w="3248"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科目英文名稱</w:t>
            </w:r>
          </w:p>
        </w:tc>
        <w:tc>
          <w:tcPr>
            <w:tcW w:w="567" w:type="dxa"/>
            <w:tcBorders>
              <w:bottom w:val="nil"/>
            </w:tcBorders>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備註</w:t>
            </w:r>
          </w:p>
        </w:tc>
      </w:tr>
      <w:tr w:rsidR="00282D7C" w:rsidRPr="006F4427" w:rsidTr="00D2714C">
        <w:tc>
          <w:tcPr>
            <w:tcW w:w="392" w:type="dxa"/>
            <w:vMerge w:val="restart"/>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共同課程</w:t>
            </w:r>
          </w:p>
        </w:tc>
        <w:tc>
          <w:tcPr>
            <w:tcW w:w="532" w:type="dxa"/>
            <w:vMerge w:val="restart"/>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必修</w:t>
            </w:r>
            <w:r w:rsidRPr="006F4427">
              <w:rPr>
                <w:rFonts w:ascii="Times New Roman" w:eastAsia="標楷體" w:hAnsi="Times New Roman" w:cs="Times New Roman"/>
                <w:b/>
                <w:bCs/>
                <w:color w:val="000000" w:themeColor="text1"/>
                <w:sz w:val="22"/>
              </w:rPr>
              <w:t>8</w:t>
            </w:r>
          </w:p>
          <w:p w:rsidR="00282D7C" w:rsidRPr="006F4427" w:rsidRDefault="00282D7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學分</w:t>
            </w:r>
          </w:p>
        </w:tc>
        <w:tc>
          <w:tcPr>
            <w:tcW w:w="2170"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專題討論</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一</w:t>
            </w:r>
            <w:r w:rsidRPr="006F4427">
              <w:rPr>
                <w:rFonts w:ascii="Times New Roman" w:eastAsia="標楷體" w:hAnsi="Times New Roman" w:cs="Times New Roman"/>
                <w:color w:val="000000" w:themeColor="text1"/>
                <w:sz w:val="22"/>
              </w:rPr>
              <w:t>)</w:t>
            </w:r>
          </w:p>
        </w:tc>
        <w:tc>
          <w:tcPr>
            <w:tcW w:w="166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SAP21D00A001</w:t>
            </w:r>
          </w:p>
        </w:tc>
        <w:tc>
          <w:tcPr>
            <w:tcW w:w="504"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必</w:t>
            </w:r>
          </w:p>
        </w:tc>
        <w:tc>
          <w:tcPr>
            <w:tcW w:w="40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349"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651"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Seminar (I)</w:t>
            </w:r>
          </w:p>
        </w:tc>
        <w:tc>
          <w:tcPr>
            <w:tcW w:w="567"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r>
      <w:tr w:rsidR="00282D7C" w:rsidRPr="006F4427" w:rsidTr="00D2714C">
        <w:tc>
          <w:tcPr>
            <w:tcW w:w="392" w:type="dxa"/>
            <w:vMerge/>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專題討論</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二</w:t>
            </w:r>
            <w:r w:rsidRPr="006F4427">
              <w:rPr>
                <w:rFonts w:ascii="Times New Roman" w:eastAsia="標楷體" w:hAnsi="Times New Roman" w:cs="Times New Roman"/>
                <w:color w:val="000000" w:themeColor="text1"/>
                <w:sz w:val="22"/>
              </w:rPr>
              <w:t>)</w:t>
            </w:r>
          </w:p>
        </w:tc>
        <w:tc>
          <w:tcPr>
            <w:tcW w:w="166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SAP21D00A002</w:t>
            </w:r>
          </w:p>
        </w:tc>
        <w:tc>
          <w:tcPr>
            <w:tcW w:w="504"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必</w:t>
            </w:r>
          </w:p>
        </w:tc>
        <w:tc>
          <w:tcPr>
            <w:tcW w:w="40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349"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651"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Seminar (II)</w:t>
            </w:r>
          </w:p>
        </w:tc>
        <w:tc>
          <w:tcPr>
            <w:tcW w:w="567"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r>
      <w:tr w:rsidR="00282D7C" w:rsidRPr="006F4427" w:rsidTr="00D2714C">
        <w:tc>
          <w:tcPr>
            <w:tcW w:w="392" w:type="dxa"/>
            <w:vMerge/>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引導研究</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一</w:t>
            </w:r>
            <w:r w:rsidRPr="006F4427">
              <w:rPr>
                <w:rFonts w:ascii="Times New Roman" w:eastAsia="標楷體" w:hAnsi="Times New Roman" w:cs="Times New Roman"/>
                <w:color w:val="000000" w:themeColor="text1"/>
                <w:sz w:val="22"/>
              </w:rPr>
              <w:t>)</w:t>
            </w:r>
          </w:p>
        </w:tc>
        <w:tc>
          <w:tcPr>
            <w:tcW w:w="166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SAP21D00A005</w:t>
            </w:r>
          </w:p>
        </w:tc>
        <w:tc>
          <w:tcPr>
            <w:tcW w:w="504"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必</w:t>
            </w:r>
          </w:p>
        </w:tc>
        <w:tc>
          <w:tcPr>
            <w:tcW w:w="40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Directed Study (I)</w:t>
            </w:r>
          </w:p>
        </w:tc>
        <w:tc>
          <w:tcPr>
            <w:tcW w:w="567"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r>
      <w:tr w:rsidR="00282D7C" w:rsidRPr="006F4427" w:rsidTr="00D2714C">
        <w:tc>
          <w:tcPr>
            <w:tcW w:w="392" w:type="dxa"/>
            <w:vMerge/>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引導研究</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二</w:t>
            </w:r>
            <w:r w:rsidRPr="006F4427">
              <w:rPr>
                <w:rFonts w:ascii="Times New Roman" w:eastAsia="標楷體" w:hAnsi="Times New Roman" w:cs="Times New Roman"/>
                <w:color w:val="000000" w:themeColor="text1"/>
                <w:sz w:val="22"/>
              </w:rPr>
              <w:t>)</w:t>
            </w:r>
          </w:p>
        </w:tc>
        <w:tc>
          <w:tcPr>
            <w:tcW w:w="166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SAP21D00A006</w:t>
            </w:r>
          </w:p>
        </w:tc>
        <w:tc>
          <w:tcPr>
            <w:tcW w:w="504"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必</w:t>
            </w:r>
          </w:p>
        </w:tc>
        <w:tc>
          <w:tcPr>
            <w:tcW w:w="406"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282D7C" w:rsidRPr="006F4427" w:rsidRDefault="00282D7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Directed Study (II)</w:t>
            </w:r>
          </w:p>
        </w:tc>
        <w:tc>
          <w:tcPr>
            <w:tcW w:w="567" w:type="dxa"/>
            <w:vAlign w:val="center"/>
          </w:tcPr>
          <w:p w:rsidR="00282D7C" w:rsidRPr="006F4427" w:rsidRDefault="00282D7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restart"/>
            <w:vAlign w:val="center"/>
          </w:tcPr>
          <w:p w:rsidR="00D2714C"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專</w:t>
            </w:r>
          </w:p>
          <w:p w:rsidR="00D2714C"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長</w:t>
            </w:r>
          </w:p>
          <w:p w:rsidR="00D2714C"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課</w:t>
            </w:r>
          </w:p>
          <w:p w:rsidR="00D2714C" w:rsidRPr="006F4427"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程</w:t>
            </w:r>
          </w:p>
        </w:tc>
        <w:tc>
          <w:tcPr>
            <w:tcW w:w="532" w:type="dxa"/>
            <w:vMerge w:val="restart"/>
            <w:vAlign w:val="center"/>
          </w:tcPr>
          <w:p w:rsidR="00D2714C"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選修</w:t>
            </w:r>
          </w:p>
          <w:p w:rsidR="00D2714C" w:rsidRPr="006F4427"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Pr>
                <w:rFonts w:ascii="Times New Roman" w:eastAsia="標楷體" w:hAnsi="Times New Roman" w:cs="Times New Roman"/>
                <w:b/>
                <w:bCs/>
                <w:color w:val="000000" w:themeColor="text1"/>
                <w:sz w:val="22"/>
              </w:rPr>
              <w:t>1</w:t>
            </w:r>
            <w:r w:rsidRPr="006F4427">
              <w:rPr>
                <w:rFonts w:ascii="Times New Roman" w:eastAsia="標楷體" w:hAnsi="Times New Roman" w:cs="Times New Roman"/>
                <w:b/>
                <w:bCs/>
                <w:color w:val="000000" w:themeColor="text1"/>
                <w:sz w:val="22"/>
              </w:rPr>
              <w:t>6</w:t>
            </w:r>
          </w:p>
          <w:p w:rsidR="00D2714C" w:rsidRPr="006F4427" w:rsidRDefault="00D2714C" w:rsidP="00D2714C">
            <w:pPr>
              <w:snapToGrid w:val="0"/>
              <w:ind w:leftChars="-32" w:left="-77" w:rightChars="-32" w:right="-77"/>
              <w:jc w:val="center"/>
              <w:rPr>
                <w:rFonts w:ascii="Times New Roman" w:eastAsia="標楷體" w:hAnsi="Times New Roman" w:cs="Times New Roman"/>
                <w:b/>
                <w:bCs/>
                <w:color w:val="000000" w:themeColor="text1"/>
                <w:sz w:val="22"/>
              </w:rPr>
            </w:pPr>
            <w:r w:rsidRPr="006F4427">
              <w:rPr>
                <w:rFonts w:ascii="Times New Roman" w:eastAsia="標楷體" w:hAnsi="Times New Roman" w:cs="Times New Roman"/>
                <w:b/>
                <w:bCs/>
                <w:color w:val="000000" w:themeColor="text1"/>
                <w:sz w:val="22"/>
              </w:rPr>
              <w:t>學分</w:t>
            </w: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奈米與綠色科學特論</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SAP22D00A201</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Special Topics on Nano and Green Science</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bCs/>
                <w:color w:val="000000" w:themeColor="text1"/>
                <w:sz w:val="22"/>
              </w:rPr>
            </w:pPr>
            <w:r w:rsidRPr="00B466B5">
              <w:rPr>
                <w:rFonts w:ascii="Times New Roman" w:eastAsia="標楷體" w:hAnsi="Times New Roman" w:cs="Times New Roman"/>
                <w:bCs/>
                <w:color w:val="000000" w:themeColor="text1"/>
                <w:sz w:val="20"/>
              </w:rPr>
              <w:t>物</w:t>
            </w:r>
            <w:r w:rsidRPr="00B466B5">
              <w:rPr>
                <w:rFonts w:ascii="Times New Roman" w:eastAsia="標楷體" w:hAnsi="Times New Roman" w:cs="Times New Roman" w:hint="eastAsia"/>
                <w:bCs/>
                <w:color w:val="000000" w:themeColor="text1"/>
                <w:sz w:val="14"/>
              </w:rPr>
              <w:t>、</w:t>
            </w:r>
            <w:r w:rsidRPr="00B466B5">
              <w:rPr>
                <w:rFonts w:ascii="Times New Roman" w:eastAsia="標楷體" w:hAnsi="Times New Roman" w:cs="Times New Roman"/>
                <w:bCs/>
                <w:color w:val="000000" w:themeColor="text1"/>
                <w:sz w:val="20"/>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化學反應機制</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SAP22D00A202</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Chemical Reaction Mechanism</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電分析化學</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SAP22D00A203</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Electroanalytical Chemistry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奈米製程技術</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SAP22D00A204</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Nano Process Technology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化學生物學</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SAP22D00A209</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2</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2</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Chemical Biology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綠色質譜分析</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SAP22D00A210</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Green</w:t>
            </w:r>
            <w:r>
              <w:rPr>
                <w:rFonts w:ascii="Times New Roman" w:eastAsia="標楷體" w:hAnsi="Times New Roman" w:cs="Times New Roman"/>
                <w:color w:val="000000" w:themeColor="text1"/>
                <w:sz w:val="22"/>
              </w:rPr>
              <w:t xml:space="preserve"> Chemistry and Mass Spectrome</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晶體結構</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SAP22D00A212</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Crystalline Structure</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創造力與科學教育推廣</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SAP22D00A213</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2</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2</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Science Innovation, Education and Promotion</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生醫光學</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SAP22D00A216</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Biophotonics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無機物理方法</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SAP22D00A217</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Inorganic</w:t>
            </w:r>
            <w:r>
              <w:rPr>
                <w:rFonts w:ascii="Times New Roman" w:eastAsia="標楷體" w:hAnsi="Times New Roman" w:cs="Times New Roman" w:hint="eastAsia"/>
                <w:color w:val="000000" w:themeColor="text1"/>
                <w:sz w:val="22"/>
              </w:rPr>
              <w:t xml:space="preserve"> </w:t>
            </w:r>
            <w:r w:rsidRPr="006F4427">
              <w:rPr>
                <w:rFonts w:ascii="Times New Roman" w:eastAsia="標楷體" w:hAnsi="Times New Roman" w:cs="Times New Roman"/>
                <w:color w:val="000000" w:themeColor="text1"/>
                <w:sz w:val="22"/>
              </w:rPr>
              <w:t>Physical Methods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平面顯示器</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SAP22D00A240</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Flat Displays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真空技術與實務</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SAP22D00A222</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Vacuum Technology and Practice</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光機電工程</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SAP22D00A223</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Optomechatronic Integration Engineering</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奈米量測技術</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SAP22D00A226</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Nano Measurement Technology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高等化學動力學</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SAP22D00A227</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Advanced Chemical Kinetics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科技產業趨勢與推廣</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SAP22D00A228</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Industrial Technology Tendency and Marketing</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地球系統科學特論</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SAP22D00A232</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碩一</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Special Topics on Earth System Science</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專題討論</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三</w:t>
            </w:r>
            <w:r w:rsidRPr="006F4427">
              <w:rPr>
                <w:rFonts w:ascii="Times New Roman" w:eastAsia="標楷體" w:hAnsi="Times New Roman" w:cs="Times New Roman"/>
                <w:color w:val="000000" w:themeColor="text1"/>
                <w:sz w:val="22"/>
              </w:rPr>
              <w:t>)</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SAP22D00A233</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碩二</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Seminar (III)</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專題討論</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四</w:t>
            </w:r>
            <w:r w:rsidRPr="006F4427">
              <w:rPr>
                <w:rFonts w:ascii="Times New Roman" w:eastAsia="標楷體" w:hAnsi="Times New Roman" w:cs="Times New Roman"/>
                <w:color w:val="000000" w:themeColor="text1"/>
                <w:sz w:val="22"/>
              </w:rPr>
              <w:t>)</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SAP22D00A234</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1</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碩二</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Seminar (IV)</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引導研究</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三</w:t>
            </w:r>
            <w:r w:rsidRPr="006F4427">
              <w:rPr>
                <w:rFonts w:ascii="Times New Roman" w:eastAsia="標楷體" w:hAnsi="Times New Roman" w:cs="Times New Roman"/>
                <w:color w:val="000000" w:themeColor="text1"/>
                <w:sz w:val="22"/>
              </w:rPr>
              <w:t>)</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Pr>
                <w:rFonts w:ascii="Times New Roman" w:eastAsia="標楷體" w:hAnsi="Times New Roman" w:cs="Times New Roman"/>
                <w:color w:val="000000" w:themeColor="text1"/>
                <w:sz w:val="22"/>
              </w:rPr>
              <w:t>SAP22</w:t>
            </w:r>
            <w:r w:rsidRPr="006F4427">
              <w:rPr>
                <w:rFonts w:ascii="Times New Roman" w:eastAsia="標楷體" w:hAnsi="Times New Roman" w:cs="Times New Roman"/>
                <w:color w:val="000000" w:themeColor="text1"/>
                <w:sz w:val="22"/>
              </w:rPr>
              <w:t>D00A246</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碩二</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Directed Study (III)</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D2714C">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引導研究</w:t>
            </w:r>
            <w:r w:rsidRPr="006F4427">
              <w:rPr>
                <w:rFonts w:ascii="Times New Roman" w:eastAsia="標楷體" w:hAnsi="Times New Roman" w:cs="Times New Roman"/>
                <w:color w:val="000000" w:themeColor="text1"/>
                <w:sz w:val="22"/>
              </w:rPr>
              <w:t>(</w:t>
            </w:r>
            <w:r w:rsidRPr="006F4427">
              <w:rPr>
                <w:rFonts w:ascii="Times New Roman" w:eastAsia="標楷體" w:hAnsi="Times New Roman" w:cs="Times New Roman"/>
                <w:color w:val="000000" w:themeColor="text1"/>
                <w:sz w:val="22"/>
              </w:rPr>
              <w:t>四</w:t>
            </w:r>
            <w:r w:rsidRPr="006F4427">
              <w:rPr>
                <w:rFonts w:ascii="Times New Roman" w:eastAsia="標楷體" w:hAnsi="Times New Roman" w:cs="Times New Roman"/>
                <w:color w:val="000000" w:themeColor="text1"/>
                <w:sz w:val="22"/>
              </w:rPr>
              <w:t>)</w:t>
            </w:r>
          </w:p>
        </w:tc>
        <w:tc>
          <w:tcPr>
            <w:tcW w:w="166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Pr>
                <w:rFonts w:ascii="Times New Roman" w:eastAsia="標楷體" w:hAnsi="Times New Roman" w:cs="Times New Roman"/>
                <w:color w:val="000000" w:themeColor="text1"/>
                <w:sz w:val="22"/>
              </w:rPr>
              <w:t>SAP22</w:t>
            </w:r>
            <w:r w:rsidRPr="006F4427">
              <w:rPr>
                <w:rFonts w:ascii="Times New Roman" w:eastAsia="標楷體" w:hAnsi="Times New Roman" w:cs="Times New Roman"/>
                <w:color w:val="000000" w:themeColor="text1"/>
                <w:sz w:val="22"/>
              </w:rPr>
              <w:t>D00A247</w:t>
            </w:r>
          </w:p>
        </w:tc>
        <w:tc>
          <w:tcPr>
            <w:tcW w:w="504"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選</w:t>
            </w:r>
          </w:p>
        </w:tc>
        <w:tc>
          <w:tcPr>
            <w:tcW w:w="406"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349"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3</w:t>
            </w:r>
          </w:p>
        </w:tc>
        <w:tc>
          <w:tcPr>
            <w:tcW w:w="651"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碩二</w:t>
            </w:r>
          </w:p>
        </w:tc>
        <w:tc>
          <w:tcPr>
            <w:tcW w:w="3248" w:type="dxa"/>
            <w:vAlign w:val="center"/>
          </w:tcPr>
          <w:p w:rsidR="00D2714C" w:rsidRPr="006F4427" w:rsidRDefault="00D2714C" w:rsidP="00D2714C">
            <w:pPr>
              <w:snapToGrid w:val="0"/>
              <w:ind w:leftChars="-32" w:left="-77" w:rightChars="-32" w:right="-77"/>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Directed Study (IV)</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6F4427">
              <w:rPr>
                <w:rFonts w:ascii="Times New Roman" w:eastAsia="標楷體" w:hAnsi="Times New Roman" w:cs="Times New Roman"/>
                <w:color w:val="000000" w:themeColor="text1"/>
                <w:sz w:val="22"/>
              </w:rPr>
              <w:t>化</w:t>
            </w: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科技英文寫作</w:t>
            </w:r>
            <w:r w:rsidRPr="00B54CFD">
              <w:rPr>
                <w:rFonts w:ascii="Times New Roman" w:eastAsia="標楷體" w:hAnsi="Times New Roman" w:cs="Times New Roman"/>
                <w:color w:val="000000" w:themeColor="text1"/>
                <w:sz w:val="22"/>
              </w:rPr>
              <w:t xml:space="preserve"> </w:t>
            </w:r>
          </w:p>
        </w:tc>
        <w:tc>
          <w:tcPr>
            <w:tcW w:w="1666"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SAP22D00A249</w:t>
            </w:r>
          </w:p>
        </w:tc>
        <w:tc>
          <w:tcPr>
            <w:tcW w:w="504"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選</w:t>
            </w:r>
          </w:p>
        </w:tc>
        <w:tc>
          <w:tcPr>
            <w:tcW w:w="406"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2</w:t>
            </w:r>
          </w:p>
        </w:tc>
        <w:tc>
          <w:tcPr>
            <w:tcW w:w="349"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2</w:t>
            </w:r>
          </w:p>
        </w:tc>
        <w:tc>
          <w:tcPr>
            <w:tcW w:w="651"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jc w:val="center"/>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碩一</w:t>
            </w:r>
          </w:p>
        </w:tc>
        <w:tc>
          <w:tcPr>
            <w:tcW w:w="3248" w:type="dxa"/>
            <w:tcBorders>
              <w:top w:val="single" w:sz="4" w:space="0" w:color="auto"/>
              <w:bottom w:val="single" w:sz="4" w:space="0" w:color="auto"/>
            </w:tcBorders>
            <w:vAlign w:val="center"/>
          </w:tcPr>
          <w:p w:rsidR="00D2714C" w:rsidRPr="00B54CFD" w:rsidRDefault="00D2714C" w:rsidP="00D2714C">
            <w:pPr>
              <w:snapToGrid w:val="0"/>
              <w:ind w:leftChars="-32" w:left="-77" w:rightChars="-32" w:right="-77"/>
              <w:rPr>
                <w:rFonts w:ascii="Times New Roman" w:eastAsia="標楷體" w:hAnsi="Times New Roman" w:cs="Times New Roman"/>
                <w:color w:val="000000" w:themeColor="text1"/>
                <w:sz w:val="22"/>
              </w:rPr>
            </w:pPr>
            <w:r w:rsidRPr="00B54CFD">
              <w:rPr>
                <w:rFonts w:ascii="Times New Roman" w:eastAsia="標楷體" w:hAnsi="Times New Roman" w:cs="Times New Roman"/>
                <w:color w:val="000000" w:themeColor="text1"/>
                <w:sz w:val="22"/>
              </w:rPr>
              <w:t>Scientific and Technical English Writing</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C3409E" w:rsidRDefault="00D2714C" w:rsidP="00D2714C">
            <w:pPr>
              <w:snapToGrid w:val="0"/>
              <w:ind w:leftChars="-32" w:left="-77" w:rightChars="-32" w:right="-77"/>
              <w:rPr>
                <w:rFonts w:eastAsia="標楷體"/>
                <w:color w:val="000000" w:themeColor="text1"/>
                <w:sz w:val="22"/>
              </w:rPr>
            </w:pPr>
            <w:r w:rsidRPr="00C3409E">
              <w:rPr>
                <w:rFonts w:eastAsia="標楷體" w:hint="eastAsia"/>
                <w:color w:val="000000" w:themeColor="text1"/>
                <w:sz w:val="22"/>
              </w:rPr>
              <w:t>半導體製程技術</w:t>
            </w:r>
          </w:p>
        </w:tc>
        <w:tc>
          <w:tcPr>
            <w:tcW w:w="1666"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sidRPr="00C3409E">
              <w:rPr>
                <w:rFonts w:eastAsia="標楷體"/>
                <w:color w:val="000000" w:themeColor="text1"/>
                <w:sz w:val="22"/>
              </w:rPr>
              <w:t>SAP22D00A250</w:t>
            </w:r>
          </w:p>
        </w:tc>
        <w:tc>
          <w:tcPr>
            <w:tcW w:w="504"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sidRPr="00C3409E">
              <w:rPr>
                <w:rFonts w:eastAsia="標楷體"/>
                <w:color w:val="000000" w:themeColor="text1"/>
                <w:sz w:val="22"/>
              </w:rPr>
              <w:t>選</w:t>
            </w:r>
          </w:p>
        </w:tc>
        <w:tc>
          <w:tcPr>
            <w:tcW w:w="406"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sidRPr="00C3409E">
              <w:rPr>
                <w:rFonts w:eastAsia="標楷體"/>
                <w:color w:val="000000" w:themeColor="text1"/>
                <w:sz w:val="22"/>
              </w:rPr>
              <w:t>3</w:t>
            </w:r>
          </w:p>
        </w:tc>
        <w:tc>
          <w:tcPr>
            <w:tcW w:w="349"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sidRPr="00C3409E">
              <w:rPr>
                <w:rFonts w:eastAsia="標楷體"/>
                <w:color w:val="000000" w:themeColor="text1"/>
                <w:sz w:val="22"/>
              </w:rPr>
              <w:t>3</w:t>
            </w:r>
          </w:p>
        </w:tc>
        <w:tc>
          <w:tcPr>
            <w:tcW w:w="651"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sidRPr="00C3409E">
              <w:rPr>
                <w:rFonts w:eastAsia="標楷體"/>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hint="eastAsia"/>
                <w:color w:val="000000" w:themeColor="text1"/>
                <w:sz w:val="22"/>
              </w:rPr>
              <w:t>S</w:t>
            </w:r>
            <w:r w:rsidRPr="003440C4">
              <w:rPr>
                <w:rFonts w:ascii="Times New Roman" w:eastAsia="標楷體" w:hAnsi="Times New Roman" w:cs="Times New Roman"/>
                <w:color w:val="000000" w:themeColor="text1"/>
                <w:sz w:val="22"/>
              </w:rPr>
              <w:t>emiconductor Manufacturing Technology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widowControl/>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固態物理特論</w:t>
            </w:r>
          </w:p>
        </w:tc>
        <w:tc>
          <w:tcPr>
            <w:tcW w:w="1666" w:type="dxa"/>
            <w:vAlign w:val="center"/>
          </w:tcPr>
          <w:p w:rsidR="00D2714C" w:rsidRDefault="00D2714C" w:rsidP="00D2714C">
            <w:pPr>
              <w:widowControl/>
              <w:snapToGrid w:val="0"/>
              <w:ind w:leftChars="-32" w:left="-77" w:rightChars="-32" w:right="-77"/>
              <w:jc w:val="center"/>
              <w:rPr>
                <w:rFonts w:ascii="Calibri" w:hAnsi="Calibri" w:cs="Calibri"/>
                <w:color w:val="000000"/>
                <w:sz w:val="22"/>
              </w:rPr>
            </w:pPr>
            <w:r>
              <w:rPr>
                <w:rFonts w:ascii="Calibri" w:hAnsi="Calibri" w:cs="Calibri"/>
                <w:color w:val="000000"/>
                <w:sz w:val="22"/>
              </w:rPr>
              <w:t>SAP22D00A251</w:t>
            </w:r>
          </w:p>
        </w:tc>
        <w:tc>
          <w:tcPr>
            <w:tcW w:w="504"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Pr>
                <w:rFonts w:eastAsia="標楷體" w:hint="eastAsia"/>
                <w:color w:val="000000" w:themeColor="text1"/>
                <w:sz w:val="22"/>
              </w:rPr>
              <w:t>選</w:t>
            </w:r>
          </w:p>
        </w:tc>
        <w:tc>
          <w:tcPr>
            <w:tcW w:w="406"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Pr>
                <w:rFonts w:eastAsia="標楷體" w:hint="eastAsia"/>
                <w:color w:val="000000" w:themeColor="text1"/>
                <w:sz w:val="22"/>
              </w:rPr>
              <w:t>3</w:t>
            </w:r>
          </w:p>
        </w:tc>
        <w:tc>
          <w:tcPr>
            <w:tcW w:w="349"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Pr>
                <w:rFonts w:eastAsia="標楷體" w:hint="eastAsia"/>
                <w:color w:val="000000" w:themeColor="text1"/>
                <w:sz w:val="22"/>
              </w:rPr>
              <w:t>3</w:t>
            </w:r>
          </w:p>
        </w:tc>
        <w:tc>
          <w:tcPr>
            <w:tcW w:w="651" w:type="dxa"/>
            <w:vAlign w:val="center"/>
          </w:tcPr>
          <w:p w:rsidR="00D2714C" w:rsidRPr="00C3409E" w:rsidRDefault="00D2714C" w:rsidP="00D2714C">
            <w:pPr>
              <w:snapToGrid w:val="0"/>
              <w:ind w:leftChars="-32" w:left="-77" w:rightChars="-32" w:right="-77"/>
              <w:jc w:val="center"/>
              <w:rPr>
                <w:rFonts w:eastAsia="標楷體"/>
                <w:color w:val="000000" w:themeColor="text1"/>
                <w:sz w:val="22"/>
              </w:rPr>
            </w:pPr>
            <w:r>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Special Topics on Solid-State Physics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高等生物無機化學</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SAP22D00A252</w:t>
            </w:r>
          </w:p>
        </w:tc>
        <w:tc>
          <w:tcPr>
            <w:tcW w:w="504" w:type="dxa"/>
          </w:tcPr>
          <w:p w:rsidR="00D2714C" w:rsidRDefault="00D2714C" w:rsidP="00D2714C">
            <w:pPr>
              <w:snapToGrid w:val="0"/>
              <w:ind w:leftChars="-32" w:left="-77" w:rightChars="-32" w:right="-77"/>
            </w:pPr>
            <w:r w:rsidRPr="00567A9A">
              <w:rPr>
                <w:rFonts w:eastAsia="標楷體" w:hint="eastAsia"/>
                <w:color w:val="000000" w:themeColor="text1"/>
                <w:sz w:val="22"/>
              </w:rPr>
              <w:t>選</w:t>
            </w:r>
          </w:p>
        </w:tc>
        <w:tc>
          <w:tcPr>
            <w:tcW w:w="406" w:type="dxa"/>
            <w:vAlign w:val="bottom"/>
          </w:tcPr>
          <w:p w:rsidR="00D2714C" w:rsidRDefault="00D2714C" w:rsidP="00D2714C">
            <w:pPr>
              <w:widowControl/>
              <w:snapToGrid w:val="0"/>
              <w:ind w:leftChars="-32" w:left="-77" w:rightChars="-32" w:right="-77"/>
              <w:jc w:val="center"/>
              <w:rPr>
                <w:rFonts w:ascii="Times New Roman" w:hAnsi="Times New Roman" w:cs="Times New Roman"/>
                <w:color w:val="000000"/>
                <w:sz w:val="22"/>
              </w:rPr>
            </w:pPr>
            <w:r>
              <w:rPr>
                <w:rFonts w:ascii="Times New Roman" w:hAnsi="Times New Roman" w:cs="Times New Roman"/>
                <w:color w:val="000000"/>
                <w:sz w:val="22"/>
              </w:rPr>
              <w:t>3</w:t>
            </w:r>
          </w:p>
        </w:tc>
        <w:tc>
          <w:tcPr>
            <w:tcW w:w="349" w:type="dxa"/>
            <w:vAlign w:val="bottom"/>
          </w:tcPr>
          <w:p w:rsidR="00D2714C" w:rsidRDefault="00D2714C" w:rsidP="00D2714C">
            <w:pPr>
              <w:widowControl/>
              <w:snapToGrid w:val="0"/>
              <w:ind w:leftChars="-32" w:left="-77" w:rightChars="-32" w:right="-77"/>
              <w:jc w:val="center"/>
              <w:rPr>
                <w:rFonts w:ascii="Times New Roman" w:hAnsi="Times New Roman" w:cs="Times New Roman"/>
                <w:color w:val="000000"/>
                <w:sz w:val="22"/>
              </w:rPr>
            </w:pPr>
            <w:r>
              <w:rPr>
                <w:rFonts w:ascii="Times New Roman" w:hAnsi="Times New Roman" w:cs="Times New Roman"/>
                <w:color w:val="000000"/>
                <w:sz w:val="22"/>
              </w:rPr>
              <w:t>3</w:t>
            </w:r>
          </w:p>
        </w:tc>
        <w:tc>
          <w:tcPr>
            <w:tcW w:w="651" w:type="dxa"/>
          </w:tcPr>
          <w:p w:rsidR="00D2714C" w:rsidRDefault="00D2714C" w:rsidP="00D2714C">
            <w:pPr>
              <w:snapToGrid w:val="0"/>
              <w:ind w:leftChars="-32" w:left="-77" w:rightChars="-32" w:right="-77"/>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Bioinorganic Chemistry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進階奈米生醫光電</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SAP22D00A253</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szCs w:val="24"/>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szCs w:val="24"/>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Nano-Biomedical-Photoelectronics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高等基因體及蛋白質體學</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SAP22D00A254</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Genomics and Proteomics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進階綠色分析技術</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SAP22D00A255</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Green Analytical Methodologies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進階材料科學</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SAP22D00A256</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Materials Science</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高等奈米材料應用</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SAP22D00A257</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Applications of Advanced Nanomaterials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臨床醫藥化學</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SAP22D00A258</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Clinical Pharmaceutical Chemistry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進階有機光譜</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SAP22D00A259</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Organic Material Spectrometry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進階有機反應機構</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SAP22D00A260</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Reaction Mechanism in Organic Chemistry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進階有機光化學</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SAP22D00A261</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Organic Photochemistry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進階有機合成</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SAP22D00A262</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2</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3440C4" w:rsidRDefault="00D2714C" w:rsidP="00D2714C">
            <w:pPr>
              <w:snapToGrid w:val="0"/>
              <w:ind w:leftChars="-32" w:left="-77" w:rightChars="-32" w:right="-77"/>
              <w:rPr>
                <w:rFonts w:ascii="Times New Roman" w:eastAsia="標楷體" w:hAnsi="Times New Roman" w:cs="Times New Roman"/>
                <w:color w:val="000000" w:themeColor="text1"/>
                <w:sz w:val="22"/>
              </w:rPr>
            </w:pPr>
            <w:r w:rsidRPr="003440C4">
              <w:rPr>
                <w:rFonts w:ascii="Times New Roman" w:eastAsia="標楷體" w:hAnsi="Times New Roman" w:cs="Times New Roman"/>
                <w:color w:val="000000" w:themeColor="text1"/>
                <w:sz w:val="22"/>
              </w:rPr>
              <w:t>Advanced Organic Synthesis</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r w:rsidR="00D2714C" w:rsidRPr="006F4427" w:rsidTr="00583E1F">
        <w:tc>
          <w:tcPr>
            <w:tcW w:w="39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532" w:type="dxa"/>
            <w:vMerge/>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c>
          <w:tcPr>
            <w:tcW w:w="2170" w:type="dxa"/>
            <w:vAlign w:val="center"/>
          </w:tcPr>
          <w:p w:rsidR="00D2714C" w:rsidRPr="000068F8" w:rsidRDefault="00D2714C" w:rsidP="00D2714C">
            <w:pPr>
              <w:snapToGrid w:val="0"/>
              <w:ind w:leftChars="-32" w:left="-77" w:rightChars="-32" w:right="-77"/>
              <w:rPr>
                <w:rFonts w:ascii="標楷體" w:eastAsia="標楷體" w:hAnsi="標楷體"/>
                <w:color w:val="000000"/>
                <w:sz w:val="22"/>
              </w:rPr>
            </w:pPr>
            <w:r w:rsidRPr="000068F8">
              <w:rPr>
                <w:rFonts w:ascii="標楷體" w:eastAsia="標楷體" w:hAnsi="標楷體" w:hint="eastAsia"/>
                <w:color w:val="000000"/>
                <w:sz w:val="22"/>
              </w:rPr>
              <w:t>進階分子生物學</w:t>
            </w:r>
          </w:p>
        </w:tc>
        <w:tc>
          <w:tcPr>
            <w:tcW w:w="1666" w:type="dxa"/>
            <w:vAlign w:val="center"/>
          </w:tcPr>
          <w:p w:rsidR="00D2714C" w:rsidRDefault="00D2714C" w:rsidP="00D2714C">
            <w:pPr>
              <w:snapToGrid w:val="0"/>
              <w:ind w:leftChars="-32" w:left="-77" w:rightChars="-32" w:right="-77"/>
              <w:jc w:val="center"/>
              <w:rPr>
                <w:rFonts w:ascii="Calibri" w:hAnsi="Calibri" w:cs="Calibri"/>
                <w:color w:val="000000"/>
                <w:sz w:val="22"/>
              </w:rPr>
            </w:pPr>
            <w:r>
              <w:rPr>
                <w:rFonts w:ascii="Calibri" w:hAnsi="Calibri" w:cs="Calibri"/>
                <w:color w:val="000000"/>
                <w:sz w:val="22"/>
              </w:rPr>
              <w:t>SAP22D00A263</w:t>
            </w:r>
          </w:p>
        </w:tc>
        <w:tc>
          <w:tcPr>
            <w:tcW w:w="504" w:type="dxa"/>
            <w:vAlign w:val="center"/>
          </w:tcPr>
          <w:p w:rsidR="00D2714C" w:rsidRDefault="00D2714C" w:rsidP="00D2714C">
            <w:pPr>
              <w:snapToGrid w:val="0"/>
              <w:ind w:leftChars="-32" w:left="-77" w:rightChars="-32" w:right="-77"/>
              <w:jc w:val="center"/>
            </w:pPr>
            <w:r w:rsidRPr="00567A9A">
              <w:rPr>
                <w:rFonts w:eastAsia="標楷體" w:hint="eastAsia"/>
                <w:color w:val="000000" w:themeColor="text1"/>
                <w:sz w:val="22"/>
              </w:rPr>
              <w:t>選</w:t>
            </w:r>
          </w:p>
        </w:tc>
        <w:tc>
          <w:tcPr>
            <w:tcW w:w="406"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349" w:type="dxa"/>
            <w:vAlign w:val="center"/>
          </w:tcPr>
          <w:p w:rsidR="00D2714C" w:rsidRDefault="00D2714C" w:rsidP="00D2714C">
            <w:pPr>
              <w:snapToGrid w:val="0"/>
              <w:ind w:leftChars="-32" w:left="-77" w:rightChars="-32" w:right="-77"/>
              <w:jc w:val="center"/>
              <w:rPr>
                <w:rFonts w:ascii="Times New Roman" w:hAnsi="Times New Roman" w:cs="Times New Roman"/>
                <w:color w:val="000000"/>
              </w:rPr>
            </w:pPr>
            <w:r>
              <w:rPr>
                <w:rFonts w:ascii="Times New Roman" w:hAnsi="Times New Roman" w:cs="Times New Roman"/>
                <w:color w:val="000000"/>
              </w:rPr>
              <w:t>3</w:t>
            </w:r>
          </w:p>
        </w:tc>
        <w:tc>
          <w:tcPr>
            <w:tcW w:w="651" w:type="dxa"/>
            <w:vAlign w:val="center"/>
          </w:tcPr>
          <w:p w:rsidR="00D2714C" w:rsidRDefault="00D2714C" w:rsidP="00D2714C">
            <w:pPr>
              <w:snapToGrid w:val="0"/>
              <w:ind w:leftChars="-32" w:left="-77" w:rightChars="-32" w:right="-77"/>
              <w:jc w:val="center"/>
            </w:pPr>
            <w:r w:rsidRPr="00923C5E">
              <w:rPr>
                <w:rFonts w:eastAsia="標楷體" w:hint="eastAsia"/>
                <w:color w:val="000000" w:themeColor="text1"/>
                <w:sz w:val="22"/>
              </w:rPr>
              <w:t>碩一</w:t>
            </w:r>
          </w:p>
        </w:tc>
        <w:tc>
          <w:tcPr>
            <w:tcW w:w="3248" w:type="dxa"/>
            <w:vAlign w:val="center"/>
          </w:tcPr>
          <w:p w:rsidR="00D2714C" w:rsidRPr="000068F8" w:rsidRDefault="00D2714C" w:rsidP="00D2714C">
            <w:pPr>
              <w:snapToGrid w:val="0"/>
              <w:ind w:leftChars="-32" w:left="-77" w:rightChars="-32" w:right="-77"/>
              <w:rPr>
                <w:rFonts w:ascii="Times New Roman" w:hAnsi="Times New Roman" w:cs="Times New Roman"/>
                <w:color w:val="000000"/>
                <w:sz w:val="22"/>
              </w:rPr>
            </w:pPr>
            <w:r w:rsidRPr="000068F8">
              <w:rPr>
                <w:rFonts w:ascii="Times New Roman" w:hAnsi="Times New Roman" w:cs="Times New Roman"/>
                <w:color w:val="000000"/>
                <w:sz w:val="22"/>
              </w:rPr>
              <w:t>Advanced Molecular Biology</w:t>
            </w:r>
          </w:p>
        </w:tc>
        <w:tc>
          <w:tcPr>
            <w:tcW w:w="567" w:type="dxa"/>
            <w:vAlign w:val="center"/>
          </w:tcPr>
          <w:p w:rsidR="00D2714C" w:rsidRPr="006F4427" w:rsidRDefault="00D2714C" w:rsidP="00D2714C">
            <w:pPr>
              <w:snapToGrid w:val="0"/>
              <w:ind w:leftChars="-32" w:left="-77" w:rightChars="-32" w:right="-77"/>
              <w:jc w:val="center"/>
              <w:rPr>
                <w:rFonts w:ascii="Times New Roman" w:eastAsia="標楷體" w:hAnsi="Times New Roman" w:cs="Times New Roman"/>
                <w:color w:val="000000" w:themeColor="text1"/>
                <w:sz w:val="22"/>
              </w:rPr>
            </w:pPr>
          </w:p>
        </w:tc>
      </w:tr>
    </w:tbl>
    <w:p w:rsidR="00206021" w:rsidRPr="00482F5E" w:rsidRDefault="00206021" w:rsidP="00282D7C">
      <w:pPr>
        <w:widowControl/>
        <w:rPr>
          <w:rFonts w:ascii="Times New Roman" w:eastAsia="標楷體" w:hAnsi="Times New Roman" w:cs="Times New Roman"/>
        </w:rPr>
      </w:pPr>
    </w:p>
    <w:sectPr w:rsidR="00206021" w:rsidRPr="00482F5E" w:rsidSect="00D2714C">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B6" w:rsidRDefault="008001B6" w:rsidP="000E3607">
      <w:r>
        <w:separator/>
      </w:r>
    </w:p>
  </w:endnote>
  <w:endnote w:type="continuationSeparator" w:id="0">
    <w:p w:rsidR="008001B6" w:rsidRDefault="008001B6" w:rsidP="000E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B6" w:rsidRDefault="008001B6" w:rsidP="000E3607">
      <w:r>
        <w:separator/>
      </w:r>
    </w:p>
  </w:footnote>
  <w:footnote w:type="continuationSeparator" w:id="0">
    <w:p w:rsidR="008001B6" w:rsidRDefault="008001B6" w:rsidP="000E36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357"/>
    <w:multiLevelType w:val="hybridMultilevel"/>
    <w:tmpl w:val="4AE0D0EA"/>
    <w:lvl w:ilvl="0" w:tplc="43081538">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D7771AE"/>
    <w:multiLevelType w:val="hybridMultilevel"/>
    <w:tmpl w:val="C9A087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6E3C3536"/>
    <w:multiLevelType w:val="hybridMultilevel"/>
    <w:tmpl w:val="2F7ACA34"/>
    <w:lvl w:ilvl="0" w:tplc="EE76EA4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7D155247"/>
    <w:multiLevelType w:val="hybridMultilevel"/>
    <w:tmpl w:val="7A684354"/>
    <w:lvl w:ilvl="0" w:tplc="63FC25BE">
      <w:start w:val="1"/>
      <w:numFmt w:val="taiwaneseCountingThousand"/>
      <w:lvlText w:val="%1、"/>
      <w:lvlJc w:val="left"/>
      <w:pPr>
        <w:ind w:left="960"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7C"/>
    <w:rsid w:val="000068F8"/>
    <w:rsid w:val="000547F7"/>
    <w:rsid w:val="000E3607"/>
    <w:rsid w:val="00113A79"/>
    <w:rsid w:val="00170D4F"/>
    <w:rsid w:val="00190742"/>
    <w:rsid w:val="001A2C19"/>
    <w:rsid w:val="001C274C"/>
    <w:rsid w:val="001E2241"/>
    <w:rsid w:val="00206021"/>
    <w:rsid w:val="00282D7C"/>
    <w:rsid w:val="002A4A90"/>
    <w:rsid w:val="002C2826"/>
    <w:rsid w:val="002C638D"/>
    <w:rsid w:val="002E519A"/>
    <w:rsid w:val="00340B66"/>
    <w:rsid w:val="003440C4"/>
    <w:rsid w:val="00391322"/>
    <w:rsid w:val="003F606C"/>
    <w:rsid w:val="00482F5E"/>
    <w:rsid w:val="00487221"/>
    <w:rsid w:val="00490620"/>
    <w:rsid w:val="004C659A"/>
    <w:rsid w:val="0050535F"/>
    <w:rsid w:val="005258E6"/>
    <w:rsid w:val="00526295"/>
    <w:rsid w:val="00544955"/>
    <w:rsid w:val="0055490E"/>
    <w:rsid w:val="00576EAF"/>
    <w:rsid w:val="005F1896"/>
    <w:rsid w:val="0064131E"/>
    <w:rsid w:val="006F4427"/>
    <w:rsid w:val="00700F80"/>
    <w:rsid w:val="00742699"/>
    <w:rsid w:val="00746603"/>
    <w:rsid w:val="00767562"/>
    <w:rsid w:val="00772179"/>
    <w:rsid w:val="007756A4"/>
    <w:rsid w:val="007A393A"/>
    <w:rsid w:val="007F002F"/>
    <w:rsid w:val="008001B6"/>
    <w:rsid w:val="00834361"/>
    <w:rsid w:val="008E1786"/>
    <w:rsid w:val="00921EA7"/>
    <w:rsid w:val="00941C47"/>
    <w:rsid w:val="009A62A1"/>
    <w:rsid w:val="00A47A48"/>
    <w:rsid w:val="00A57E70"/>
    <w:rsid w:val="00AB36A9"/>
    <w:rsid w:val="00AC62B6"/>
    <w:rsid w:val="00B21B5A"/>
    <w:rsid w:val="00B27692"/>
    <w:rsid w:val="00B466B5"/>
    <w:rsid w:val="00B472F3"/>
    <w:rsid w:val="00B50DDA"/>
    <w:rsid w:val="00B54CFD"/>
    <w:rsid w:val="00B80F54"/>
    <w:rsid w:val="00BE7AEE"/>
    <w:rsid w:val="00C3409E"/>
    <w:rsid w:val="00CC3536"/>
    <w:rsid w:val="00D2714C"/>
    <w:rsid w:val="00D94BAF"/>
    <w:rsid w:val="00D9716A"/>
    <w:rsid w:val="00DB75D2"/>
    <w:rsid w:val="00DD7D67"/>
    <w:rsid w:val="00E07FDC"/>
    <w:rsid w:val="00E528E0"/>
    <w:rsid w:val="00E64BDB"/>
    <w:rsid w:val="00E91957"/>
    <w:rsid w:val="00E97489"/>
    <w:rsid w:val="00EE4C1B"/>
    <w:rsid w:val="00F523A4"/>
    <w:rsid w:val="00F55EE2"/>
    <w:rsid w:val="00FD404D"/>
    <w:rsid w:val="00FD5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E4B59-4E55-4DC9-972B-67F87462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282D7C"/>
    <w:pPr>
      <w:ind w:leftChars="200" w:left="480"/>
    </w:pPr>
    <w:rPr>
      <w:rFonts w:ascii="Times New Roman" w:eastAsia="新細明體" w:hAnsi="Times New Roman" w:cs="Times New Roman"/>
      <w:szCs w:val="24"/>
    </w:rPr>
  </w:style>
  <w:style w:type="character" w:customStyle="1" w:styleId="a4">
    <w:name w:val="清單段落 字元"/>
    <w:aliases w:val="卑南壹 字元"/>
    <w:link w:val="a3"/>
    <w:uiPriority w:val="34"/>
    <w:locked/>
    <w:rsid w:val="00282D7C"/>
    <w:rPr>
      <w:rFonts w:ascii="Times New Roman" w:eastAsia="新細明體" w:hAnsi="Times New Roman" w:cs="Times New Roman"/>
      <w:szCs w:val="24"/>
    </w:rPr>
  </w:style>
  <w:style w:type="paragraph" w:styleId="a5">
    <w:name w:val="header"/>
    <w:basedOn w:val="a"/>
    <w:link w:val="a6"/>
    <w:uiPriority w:val="99"/>
    <w:unhideWhenUsed/>
    <w:rsid w:val="000E3607"/>
    <w:pPr>
      <w:tabs>
        <w:tab w:val="center" w:pos="4153"/>
        <w:tab w:val="right" w:pos="8306"/>
      </w:tabs>
      <w:snapToGrid w:val="0"/>
    </w:pPr>
    <w:rPr>
      <w:sz w:val="20"/>
      <w:szCs w:val="20"/>
    </w:rPr>
  </w:style>
  <w:style w:type="character" w:customStyle="1" w:styleId="a6">
    <w:name w:val="頁首 字元"/>
    <w:basedOn w:val="a0"/>
    <w:link w:val="a5"/>
    <w:uiPriority w:val="99"/>
    <w:rsid w:val="000E3607"/>
    <w:rPr>
      <w:sz w:val="20"/>
      <w:szCs w:val="20"/>
    </w:rPr>
  </w:style>
  <w:style w:type="paragraph" w:styleId="a7">
    <w:name w:val="footer"/>
    <w:basedOn w:val="a"/>
    <w:link w:val="a8"/>
    <w:uiPriority w:val="99"/>
    <w:unhideWhenUsed/>
    <w:rsid w:val="000E3607"/>
    <w:pPr>
      <w:tabs>
        <w:tab w:val="center" w:pos="4153"/>
        <w:tab w:val="right" w:pos="8306"/>
      </w:tabs>
      <w:snapToGrid w:val="0"/>
    </w:pPr>
    <w:rPr>
      <w:sz w:val="20"/>
      <w:szCs w:val="20"/>
    </w:rPr>
  </w:style>
  <w:style w:type="character" w:customStyle="1" w:styleId="a8">
    <w:name w:val="頁尾 字元"/>
    <w:basedOn w:val="a0"/>
    <w:link w:val="a7"/>
    <w:uiPriority w:val="99"/>
    <w:rsid w:val="000E3607"/>
    <w:rPr>
      <w:sz w:val="20"/>
      <w:szCs w:val="20"/>
    </w:rPr>
  </w:style>
  <w:style w:type="paragraph" w:styleId="a9">
    <w:name w:val="Balloon Text"/>
    <w:basedOn w:val="a"/>
    <w:link w:val="aa"/>
    <w:uiPriority w:val="99"/>
    <w:semiHidden/>
    <w:unhideWhenUsed/>
    <w:rsid w:val="00D971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971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2024-05-09T08:36:00Z</cp:lastPrinted>
  <dcterms:created xsi:type="dcterms:W3CDTF">2024-05-13T03:59:00Z</dcterms:created>
  <dcterms:modified xsi:type="dcterms:W3CDTF">2024-08-08T07:22:00Z</dcterms:modified>
</cp:coreProperties>
</file>